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69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</w:t>
      </w:r>
    </w:p>
    <w:p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203658">
        <w:rPr>
          <w:szCs w:val="28"/>
        </w:rPr>
        <w:t>20</w:t>
      </w:r>
      <w:r w:rsidR="00F96E5B">
        <w:rPr>
          <w:szCs w:val="28"/>
        </w:rPr>
        <w:t>2</w:t>
      </w:r>
      <w:r w:rsidR="00CF01DA">
        <w:rPr>
          <w:szCs w:val="28"/>
        </w:rPr>
        <w:t>3</w:t>
      </w:r>
      <w:r w:rsidR="00BA3669">
        <w:rPr>
          <w:szCs w:val="28"/>
        </w:rPr>
        <w:t xml:space="preserve"> </w:t>
      </w:r>
      <w:r w:rsidR="004D6BDD">
        <w:rPr>
          <w:szCs w:val="28"/>
        </w:rPr>
        <w:t>год</w:t>
      </w:r>
      <w:r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Pr="00F159E4" w:rsidRDefault="002C3E76" w:rsidP="002C3E76">
            <w:pPr>
              <w:ind w:firstLine="0"/>
              <w:rPr>
                <w:sz w:val="24"/>
                <w:szCs w:val="24"/>
              </w:rPr>
            </w:pPr>
            <w:r w:rsidRPr="00F159E4">
              <w:rPr>
                <w:sz w:val="24"/>
                <w:szCs w:val="24"/>
              </w:rPr>
              <w:t xml:space="preserve">в т.ч. </w:t>
            </w:r>
            <w:proofErr w:type="gramStart"/>
            <w:r w:rsidRPr="00F159E4">
              <w:rPr>
                <w:sz w:val="24"/>
                <w:szCs w:val="24"/>
              </w:rPr>
              <w:t>занятые</w:t>
            </w:r>
            <w:proofErr w:type="gramEnd"/>
            <w:r w:rsidRPr="00F159E4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86763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9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D93018" w:rsidRDefault="00C80F2B" w:rsidP="00C31B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</w:t>
            </w:r>
          </w:p>
        </w:tc>
        <w:tc>
          <w:tcPr>
            <w:tcW w:w="2605" w:type="dxa"/>
          </w:tcPr>
          <w:p w:rsidR="00811913" w:rsidRDefault="0005423B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811913" w:rsidRDefault="00CF01D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B26760" w:rsidRDefault="00B26760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B26760">
              <w:rPr>
                <w:sz w:val="24"/>
                <w:szCs w:val="24"/>
              </w:rPr>
              <w:t>1095</w:t>
            </w:r>
          </w:p>
        </w:tc>
        <w:tc>
          <w:tcPr>
            <w:tcW w:w="2605" w:type="dxa"/>
          </w:tcPr>
          <w:p w:rsidR="00811913" w:rsidRDefault="008E205F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811913" w:rsidRDefault="00CF01D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11913" w:rsidTr="00811913">
        <w:tc>
          <w:tcPr>
            <w:tcW w:w="2605" w:type="dxa"/>
          </w:tcPr>
          <w:p w:rsidR="00811913" w:rsidRPr="00D93018" w:rsidRDefault="0005320A" w:rsidP="002C3E76">
            <w:pPr>
              <w:ind w:firstLine="0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D93018" w:rsidRDefault="007A5445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605" w:type="dxa"/>
          </w:tcPr>
          <w:p w:rsidR="00811913" w:rsidRDefault="00F94EC6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811913" w:rsidRDefault="00E54B4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05320A" w:rsidRPr="00D93018" w:rsidRDefault="00BE6E8E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05" w:type="dxa"/>
          </w:tcPr>
          <w:p w:rsidR="0005320A" w:rsidRDefault="008E205F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5320A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5320A" w:rsidRPr="00D93018" w:rsidRDefault="00BE6E8E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3658" w:rsidRPr="00D93018" w:rsidRDefault="00BE6E8E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05" w:type="dxa"/>
          </w:tcPr>
          <w:p w:rsidR="00203658" w:rsidRDefault="008E205F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5320A" w:rsidRDefault="00BE6E8E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F01D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E35" w:rsidTr="00811913">
        <w:tc>
          <w:tcPr>
            <w:tcW w:w="2605" w:type="dxa"/>
          </w:tcPr>
          <w:p w:rsidR="00DB4E35" w:rsidRDefault="00DB4E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DB4E35" w:rsidRDefault="00DB4E35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B4E35" w:rsidRDefault="00DB4E35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DB4E35" w:rsidRDefault="00DB4E35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F86A8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Старше трудоспособного</w:t>
            </w:r>
          </w:p>
        </w:tc>
        <w:tc>
          <w:tcPr>
            <w:tcW w:w="5211" w:type="dxa"/>
          </w:tcPr>
          <w:p w:rsidR="006045D1" w:rsidRDefault="00F4715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B695B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66" w:type="pct"/>
          </w:tcPr>
          <w:p w:rsidR="00E9566B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9566B" w:rsidTr="00C26C16">
        <w:tc>
          <w:tcPr>
            <w:tcW w:w="1667" w:type="pct"/>
          </w:tcPr>
          <w:p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E9566B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9566B" w:rsidTr="00C26C16">
        <w:tc>
          <w:tcPr>
            <w:tcW w:w="1667" w:type="pct"/>
          </w:tcPr>
          <w:p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E9566B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E9566B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C26C16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pct"/>
          </w:tcPr>
          <w:p w:rsidR="00C26C16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C26C1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B971C6" w:rsidRDefault="0098612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6123" w:rsidTr="00C26C16">
        <w:tc>
          <w:tcPr>
            <w:tcW w:w="1667" w:type="pct"/>
          </w:tcPr>
          <w:p w:rsidR="00986123" w:rsidRDefault="0098612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башкиры</w:t>
            </w:r>
          </w:p>
        </w:tc>
        <w:tc>
          <w:tcPr>
            <w:tcW w:w="1667" w:type="pct"/>
          </w:tcPr>
          <w:p w:rsidR="00986123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986123" w:rsidRDefault="005A1EC9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17BA" w:rsidTr="00C26C16">
        <w:tc>
          <w:tcPr>
            <w:tcW w:w="1667" w:type="pct"/>
          </w:tcPr>
          <w:p w:rsidR="001717BA" w:rsidRDefault="001717B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1717BA" w:rsidRDefault="001717BA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1717BA" w:rsidRDefault="00BA246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1428" w:rsidTr="00C26C16">
        <w:tc>
          <w:tcPr>
            <w:tcW w:w="1667" w:type="pct"/>
          </w:tcPr>
          <w:p w:rsidR="00D41428" w:rsidRDefault="00D41428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Туркмения</w:t>
            </w:r>
          </w:p>
        </w:tc>
        <w:tc>
          <w:tcPr>
            <w:tcW w:w="1667" w:type="pct"/>
          </w:tcPr>
          <w:p w:rsidR="00D41428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D41428" w:rsidRDefault="00BA246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F46FBA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67" w:type="pct"/>
          </w:tcPr>
          <w:p w:rsidR="00E9566B" w:rsidRDefault="00F46FBA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  <w:r w:rsidR="00F46FBA">
              <w:rPr>
                <w:sz w:val="24"/>
                <w:szCs w:val="24"/>
              </w:rPr>
              <w:t>, Новгородская область, Белгородская область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p w:rsidR="00B541AD" w:rsidRDefault="00B541AD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67CC6" w:rsidP="00F67C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Новороговское юртовое казачье общество «Егорлыкский юрт» Окружного казачьего общества Черкасский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308D4" w:rsidRDefault="005308D4" w:rsidP="002C3E76">
            <w:pPr>
              <w:ind w:firstLine="0"/>
              <w:rPr>
                <w:sz w:val="24"/>
                <w:szCs w:val="24"/>
              </w:rPr>
            </w:pPr>
            <w:r w:rsidRPr="005308D4"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Петр Михайлович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  <w:r w:rsidR="00490EA4">
              <w:rPr>
                <w:sz w:val="24"/>
                <w:szCs w:val="24"/>
              </w:rPr>
              <w:t xml:space="preserve"> (дружина)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Егорлыкская 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lastRenderedPageBreak/>
              <w:t>наименование языка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E111F" w:rsidP="00DE1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Казанской Иконы Божией Матери станицы Новороговской Егорлыкского района Ростовской области Религиозной организации «</w:t>
            </w: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  <w:r>
              <w:rPr>
                <w:sz w:val="24"/>
                <w:szCs w:val="24"/>
              </w:rPr>
              <w:t xml:space="preserve"> Епархия</w:t>
            </w:r>
            <w:r w:rsidR="00EE3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 Православной Церкви «Московский Патриархат»»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CE2887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2D15C5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6F3D53" w:rsidP="00E53C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Йерей</w:t>
            </w:r>
            <w:proofErr w:type="spellEnd"/>
            <w:r>
              <w:rPr>
                <w:sz w:val="24"/>
                <w:szCs w:val="24"/>
              </w:rPr>
              <w:t xml:space="preserve"> Сергий Бондаренко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Егорлыкский район ст. Новороговская пер. Центральный,18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:rsidR="00366EEE" w:rsidRPr="00344D18" w:rsidRDefault="00366EEE" w:rsidP="00E53C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BA246C" w:rsidP="00BA24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B14A5F" w:rsidRDefault="00B14A5F" w:rsidP="006F5706">
            <w:pPr>
              <w:ind w:firstLine="0"/>
              <w:jc w:val="center"/>
              <w:rPr>
                <w:sz w:val="24"/>
                <w:szCs w:val="24"/>
              </w:rPr>
            </w:pPr>
            <w:r w:rsidRPr="00B14A5F">
              <w:rPr>
                <w:sz w:val="24"/>
                <w:szCs w:val="24"/>
              </w:rPr>
              <w:t>640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FF6759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bookmarkStart w:id="0" w:name="_GoBack"/>
            <w:bookmarkEnd w:id="0"/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BA246C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32191">
              <w:rPr>
                <w:sz w:val="24"/>
                <w:szCs w:val="24"/>
              </w:rPr>
              <w:t>,9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BA246C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31,03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B14A5F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B14A5F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9C09DF" w:rsidP="009C09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042E3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9C09DF" w:rsidP="009C09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</w:t>
            </w:r>
            <w:r w:rsidRPr="00534ED8">
              <w:rPr>
                <w:sz w:val="24"/>
                <w:szCs w:val="24"/>
              </w:rPr>
              <w:lastRenderedPageBreak/>
              <w:t xml:space="preserve">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076F9C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lastRenderedPageBreak/>
              <w:t xml:space="preserve">«Профилактика экстремизма и терроризма в Новороговском сельском поселении»; </w:t>
            </w:r>
            <w:r w:rsidRPr="00076F9C">
              <w:rPr>
                <w:sz w:val="24"/>
                <w:szCs w:val="24"/>
              </w:rPr>
              <w:lastRenderedPageBreak/>
              <w:t>Информационно-пропагандистское противодействие терроризму и эк</w:t>
            </w:r>
            <w:r>
              <w:rPr>
                <w:sz w:val="24"/>
                <w:szCs w:val="24"/>
              </w:rPr>
              <w:t>стремизму; усиление антитеррори</w:t>
            </w:r>
            <w:r w:rsidRPr="00076F9C">
              <w:rPr>
                <w:sz w:val="24"/>
                <w:szCs w:val="24"/>
              </w:rPr>
              <w:t>стической защищённости объектов социальной сферы; Выявление, предупреждение и пресечение экстремистской деятельности общественных и религиозных образований, иных организаций, физических лиц</w:t>
            </w:r>
            <w:r>
              <w:rPr>
                <w:sz w:val="24"/>
                <w:szCs w:val="24"/>
              </w:rPr>
              <w:t>.</w:t>
            </w:r>
          </w:p>
          <w:p w:rsidR="00534ED8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t xml:space="preserve"> Проведение  встреч, бесед, «круглых столов» с представителями национальных диаспор и религиозных  общин, направленных на предупреждение экстремистской деятельности, в том числе  на выявление  и последующее устранение причин и условий, способствующих осуществлению экстремистской деятельности;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E32DA2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B541AD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6B" w:rsidRDefault="00BE7B6B" w:rsidP="00811913">
      <w:r>
        <w:separator/>
      </w:r>
    </w:p>
  </w:endnote>
  <w:endnote w:type="continuationSeparator" w:id="0">
    <w:p w:rsidR="00BE7B6B" w:rsidRDefault="00BE7B6B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6B" w:rsidRDefault="00BE7B6B" w:rsidP="00811913">
      <w:r>
        <w:separator/>
      </w:r>
    </w:p>
  </w:footnote>
  <w:footnote w:type="continuationSeparator" w:id="0">
    <w:p w:rsidR="00BE7B6B" w:rsidRDefault="00BE7B6B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270EB"/>
    <w:rsid w:val="00042E3D"/>
    <w:rsid w:val="0005320A"/>
    <w:rsid w:val="0005423B"/>
    <w:rsid w:val="00057B11"/>
    <w:rsid w:val="00076F9C"/>
    <w:rsid w:val="00081CC4"/>
    <w:rsid w:val="00082851"/>
    <w:rsid w:val="000950CD"/>
    <w:rsid w:val="000A0B4F"/>
    <w:rsid w:val="000A2F13"/>
    <w:rsid w:val="000B749C"/>
    <w:rsid w:val="000C6C4F"/>
    <w:rsid w:val="000D00A0"/>
    <w:rsid w:val="0013287F"/>
    <w:rsid w:val="001717BA"/>
    <w:rsid w:val="00182952"/>
    <w:rsid w:val="001D15E2"/>
    <w:rsid w:val="001D35A7"/>
    <w:rsid w:val="001E1061"/>
    <w:rsid w:val="001E5A36"/>
    <w:rsid w:val="001F50AC"/>
    <w:rsid w:val="00203658"/>
    <w:rsid w:val="00226055"/>
    <w:rsid w:val="002501A7"/>
    <w:rsid w:val="00265021"/>
    <w:rsid w:val="0027120C"/>
    <w:rsid w:val="002A5864"/>
    <w:rsid w:val="002C3E76"/>
    <w:rsid w:val="002D15C5"/>
    <w:rsid w:val="002E3BC3"/>
    <w:rsid w:val="002E4637"/>
    <w:rsid w:val="002E75C1"/>
    <w:rsid w:val="002F21BB"/>
    <w:rsid w:val="00305E9B"/>
    <w:rsid w:val="0032008D"/>
    <w:rsid w:val="00320530"/>
    <w:rsid w:val="00344D18"/>
    <w:rsid w:val="00354546"/>
    <w:rsid w:val="00366EEE"/>
    <w:rsid w:val="00375E69"/>
    <w:rsid w:val="003A10BF"/>
    <w:rsid w:val="003F11BB"/>
    <w:rsid w:val="00432694"/>
    <w:rsid w:val="00446636"/>
    <w:rsid w:val="0048084D"/>
    <w:rsid w:val="00490EA4"/>
    <w:rsid w:val="004D6BDD"/>
    <w:rsid w:val="004E7DC3"/>
    <w:rsid w:val="005308D4"/>
    <w:rsid w:val="00530C7E"/>
    <w:rsid w:val="00534ED8"/>
    <w:rsid w:val="005514B9"/>
    <w:rsid w:val="005925C3"/>
    <w:rsid w:val="005966C7"/>
    <w:rsid w:val="00596EB4"/>
    <w:rsid w:val="005A1EC9"/>
    <w:rsid w:val="005A4296"/>
    <w:rsid w:val="005A521A"/>
    <w:rsid w:val="006045D1"/>
    <w:rsid w:val="00627104"/>
    <w:rsid w:val="00630D77"/>
    <w:rsid w:val="00640BAB"/>
    <w:rsid w:val="006551E1"/>
    <w:rsid w:val="00657CE1"/>
    <w:rsid w:val="006640E1"/>
    <w:rsid w:val="00671B65"/>
    <w:rsid w:val="00683EAE"/>
    <w:rsid w:val="006871E9"/>
    <w:rsid w:val="00691CEB"/>
    <w:rsid w:val="006A20FD"/>
    <w:rsid w:val="006A4644"/>
    <w:rsid w:val="006D2003"/>
    <w:rsid w:val="006D7CA3"/>
    <w:rsid w:val="006E62AF"/>
    <w:rsid w:val="006F13C7"/>
    <w:rsid w:val="006F3D53"/>
    <w:rsid w:val="006F4C98"/>
    <w:rsid w:val="006F5706"/>
    <w:rsid w:val="00703C80"/>
    <w:rsid w:val="007160A5"/>
    <w:rsid w:val="00774A9C"/>
    <w:rsid w:val="00796E6B"/>
    <w:rsid w:val="007A5445"/>
    <w:rsid w:val="007B3065"/>
    <w:rsid w:val="007B48AB"/>
    <w:rsid w:val="007D5BCA"/>
    <w:rsid w:val="00802A56"/>
    <w:rsid w:val="00811913"/>
    <w:rsid w:val="0081731E"/>
    <w:rsid w:val="00827328"/>
    <w:rsid w:val="0086763B"/>
    <w:rsid w:val="008942B0"/>
    <w:rsid w:val="008D62DB"/>
    <w:rsid w:val="008E205F"/>
    <w:rsid w:val="00932706"/>
    <w:rsid w:val="009534D7"/>
    <w:rsid w:val="00964D80"/>
    <w:rsid w:val="00986123"/>
    <w:rsid w:val="009969AF"/>
    <w:rsid w:val="009C09DF"/>
    <w:rsid w:val="009D70FE"/>
    <w:rsid w:val="009F5E5D"/>
    <w:rsid w:val="00A13BB5"/>
    <w:rsid w:val="00A40E87"/>
    <w:rsid w:val="00A43CC7"/>
    <w:rsid w:val="00A52DC7"/>
    <w:rsid w:val="00A919BF"/>
    <w:rsid w:val="00AA60D6"/>
    <w:rsid w:val="00AE5315"/>
    <w:rsid w:val="00B14617"/>
    <w:rsid w:val="00B14A5F"/>
    <w:rsid w:val="00B26760"/>
    <w:rsid w:val="00B42DDB"/>
    <w:rsid w:val="00B46230"/>
    <w:rsid w:val="00B541AD"/>
    <w:rsid w:val="00B57968"/>
    <w:rsid w:val="00B654BA"/>
    <w:rsid w:val="00B67B82"/>
    <w:rsid w:val="00B86FDD"/>
    <w:rsid w:val="00B971C6"/>
    <w:rsid w:val="00BA246C"/>
    <w:rsid w:val="00BA3669"/>
    <w:rsid w:val="00BE6E8E"/>
    <w:rsid w:val="00BE7B6B"/>
    <w:rsid w:val="00C048D8"/>
    <w:rsid w:val="00C26C16"/>
    <w:rsid w:val="00C31BD3"/>
    <w:rsid w:val="00C52A77"/>
    <w:rsid w:val="00C739C7"/>
    <w:rsid w:val="00C76C07"/>
    <w:rsid w:val="00C80F2B"/>
    <w:rsid w:val="00CA0B32"/>
    <w:rsid w:val="00CE2887"/>
    <w:rsid w:val="00CF01DA"/>
    <w:rsid w:val="00D1469B"/>
    <w:rsid w:val="00D174A5"/>
    <w:rsid w:val="00D41428"/>
    <w:rsid w:val="00D465E4"/>
    <w:rsid w:val="00D93018"/>
    <w:rsid w:val="00DB4E35"/>
    <w:rsid w:val="00DE111F"/>
    <w:rsid w:val="00DF32B2"/>
    <w:rsid w:val="00E007FD"/>
    <w:rsid w:val="00E2753A"/>
    <w:rsid w:val="00E32566"/>
    <w:rsid w:val="00E32DA2"/>
    <w:rsid w:val="00E428DA"/>
    <w:rsid w:val="00E53C89"/>
    <w:rsid w:val="00E54B4B"/>
    <w:rsid w:val="00E62641"/>
    <w:rsid w:val="00E9393E"/>
    <w:rsid w:val="00E9566B"/>
    <w:rsid w:val="00EB695B"/>
    <w:rsid w:val="00EC3929"/>
    <w:rsid w:val="00EE38D7"/>
    <w:rsid w:val="00F159E4"/>
    <w:rsid w:val="00F32191"/>
    <w:rsid w:val="00F46FBA"/>
    <w:rsid w:val="00F47154"/>
    <w:rsid w:val="00F5035E"/>
    <w:rsid w:val="00F60655"/>
    <w:rsid w:val="00F67CC6"/>
    <w:rsid w:val="00F86A8C"/>
    <w:rsid w:val="00F94B87"/>
    <w:rsid w:val="00F94EC6"/>
    <w:rsid w:val="00F96E5B"/>
    <w:rsid w:val="00FA4C65"/>
    <w:rsid w:val="00FE0C44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479E-63C2-458E-A7F4-717FF5F1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АНРогСп</cp:lastModifiedBy>
  <cp:revision>129</cp:revision>
  <cp:lastPrinted>2014-12-11T07:16:00Z</cp:lastPrinted>
  <dcterms:created xsi:type="dcterms:W3CDTF">2014-12-03T14:10:00Z</dcterms:created>
  <dcterms:modified xsi:type="dcterms:W3CDTF">2023-01-10T11:08:00Z</dcterms:modified>
</cp:coreProperties>
</file>