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58" w:rsidRDefault="0004166C" w:rsidP="00C72558">
      <w:pPr>
        <w:jc w:val="center"/>
        <w:rPr>
          <w:sz w:val="32"/>
          <w:szCs w:val="32"/>
        </w:rPr>
      </w:pPr>
      <w:r>
        <w:rPr>
          <w:sz w:val="32"/>
          <w:szCs w:val="32"/>
        </w:rPr>
        <w:t>02.08.2018-02.09.2018</w:t>
      </w:r>
    </w:p>
    <w:p w:rsidR="00C72558" w:rsidRDefault="00C72558" w:rsidP="00C72558">
      <w:pPr>
        <w:jc w:val="center"/>
        <w:rPr>
          <w:sz w:val="28"/>
          <w:szCs w:val="28"/>
        </w:rPr>
      </w:pPr>
      <w:r>
        <w:rPr>
          <w:sz w:val="28"/>
          <w:szCs w:val="28"/>
        </w:rPr>
        <w:t xml:space="preserve">АДМИНИСТРАЦИЯ </w:t>
      </w:r>
      <w:r w:rsidR="0021116B">
        <w:rPr>
          <w:sz w:val="28"/>
          <w:szCs w:val="28"/>
        </w:rPr>
        <w:t>НОВОРОГОВСКОГО</w:t>
      </w:r>
      <w:r>
        <w:rPr>
          <w:sz w:val="28"/>
          <w:szCs w:val="28"/>
        </w:rPr>
        <w:t xml:space="preserve"> СЕЛЬСКОГО ПОСЕЛЕНИЯ</w:t>
      </w:r>
    </w:p>
    <w:p w:rsidR="00C72558" w:rsidRDefault="00C72558" w:rsidP="00C72558">
      <w:pPr>
        <w:jc w:val="center"/>
        <w:rPr>
          <w:sz w:val="32"/>
          <w:szCs w:val="32"/>
        </w:rPr>
      </w:pPr>
    </w:p>
    <w:p w:rsidR="00C72558" w:rsidRDefault="00C72558" w:rsidP="00C72558">
      <w:pPr>
        <w:jc w:val="center"/>
        <w:rPr>
          <w:sz w:val="32"/>
          <w:szCs w:val="32"/>
        </w:rPr>
      </w:pPr>
      <w:r>
        <w:rPr>
          <w:sz w:val="32"/>
          <w:szCs w:val="32"/>
        </w:rPr>
        <w:t>ПОСТАНОВЛЕНИ</w:t>
      </w:r>
      <w:proofErr w:type="gramStart"/>
      <w:r>
        <w:rPr>
          <w:sz w:val="32"/>
          <w:szCs w:val="32"/>
        </w:rPr>
        <w:t>Е</w:t>
      </w:r>
      <w:r w:rsidR="0004166C">
        <w:rPr>
          <w:sz w:val="32"/>
          <w:szCs w:val="32"/>
        </w:rPr>
        <w:t>-</w:t>
      </w:r>
      <w:proofErr w:type="gramEnd"/>
      <w:r w:rsidR="0004166C">
        <w:rPr>
          <w:sz w:val="32"/>
          <w:szCs w:val="32"/>
        </w:rPr>
        <w:t xml:space="preserve"> ПРОЕКТ</w:t>
      </w:r>
    </w:p>
    <w:p w:rsidR="0004166C" w:rsidRDefault="0004166C" w:rsidP="00C72558">
      <w:pPr>
        <w:rPr>
          <w:b/>
          <w:sz w:val="28"/>
          <w:szCs w:val="28"/>
        </w:rPr>
      </w:pPr>
    </w:p>
    <w:p w:rsidR="00C72558" w:rsidRDefault="00C72558" w:rsidP="00C72558">
      <w:pPr>
        <w:rPr>
          <w:sz w:val="28"/>
          <w:szCs w:val="28"/>
        </w:rPr>
      </w:pPr>
      <w:r>
        <w:rPr>
          <w:b/>
          <w:sz w:val="28"/>
          <w:szCs w:val="28"/>
        </w:rPr>
        <w:t xml:space="preserve"> </w:t>
      </w:r>
      <w:r w:rsidR="0021116B">
        <w:rPr>
          <w:sz w:val="28"/>
          <w:szCs w:val="28"/>
        </w:rPr>
        <w:t>.08</w:t>
      </w:r>
      <w:r>
        <w:rPr>
          <w:sz w:val="28"/>
          <w:szCs w:val="28"/>
        </w:rPr>
        <w:t xml:space="preserve">.2018 </w:t>
      </w:r>
      <w:r>
        <w:rPr>
          <w:color w:val="FF0000"/>
          <w:sz w:val="28"/>
          <w:szCs w:val="28"/>
        </w:rPr>
        <w:t xml:space="preserve">          </w:t>
      </w:r>
      <w:r w:rsidR="0021116B">
        <w:rPr>
          <w:color w:val="FF0000"/>
          <w:sz w:val="28"/>
          <w:szCs w:val="28"/>
        </w:rPr>
        <w:t xml:space="preserve">                                    </w:t>
      </w:r>
      <w:r w:rsidR="0021116B" w:rsidRPr="0004166C">
        <w:rPr>
          <w:sz w:val="28"/>
          <w:szCs w:val="28"/>
        </w:rPr>
        <w:t xml:space="preserve">№ </w:t>
      </w:r>
      <w:r w:rsidRPr="0004166C">
        <w:rPr>
          <w:sz w:val="28"/>
          <w:szCs w:val="28"/>
        </w:rPr>
        <w:t xml:space="preserve"> </w:t>
      </w:r>
      <w:r>
        <w:rPr>
          <w:color w:val="FF0000"/>
          <w:sz w:val="28"/>
          <w:szCs w:val="28"/>
        </w:rPr>
        <w:t xml:space="preserve">  </w:t>
      </w:r>
      <w:r>
        <w:rPr>
          <w:sz w:val="28"/>
          <w:szCs w:val="28"/>
        </w:rPr>
        <w:t xml:space="preserve">                               </w:t>
      </w:r>
      <w:r w:rsidR="0021116B">
        <w:rPr>
          <w:sz w:val="28"/>
          <w:szCs w:val="28"/>
        </w:rPr>
        <w:t>ст. Новороговская</w:t>
      </w:r>
    </w:p>
    <w:p w:rsidR="0004166C" w:rsidRDefault="0004166C" w:rsidP="00C72558">
      <w:pPr>
        <w:rPr>
          <w:sz w:val="28"/>
          <w:szCs w:val="28"/>
        </w:rPr>
      </w:pPr>
    </w:p>
    <w:p w:rsidR="0004166C" w:rsidRPr="0004166C" w:rsidRDefault="0004166C"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130F96">
            <w:pPr>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21116B">
              <w:rPr>
                <w:rFonts w:eastAsia="Calibri"/>
                <w:sz w:val="28"/>
                <w:szCs w:val="28"/>
                <w:lang w:eastAsia="en-US"/>
              </w:rPr>
              <w:t xml:space="preserve">Новороговского </w:t>
            </w:r>
            <w:r>
              <w:rPr>
                <w:rFonts w:eastAsia="Calibri"/>
                <w:sz w:val="28"/>
                <w:szCs w:val="28"/>
                <w:lang w:eastAsia="en-US"/>
              </w:rPr>
              <w:t xml:space="preserve"> сельского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C72558" w:rsidRPr="00EC14E3" w:rsidRDefault="00C72558" w:rsidP="00C72558">
      <w:pPr>
        <w:ind w:firstLine="708"/>
        <w:contextualSpacing/>
        <w:jc w:val="both"/>
        <w:rPr>
          <w:rFonts w:eastAsia="Calibri"/>
          <w:b/>
          <w:sz w:val="28"/>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21116B">
        <w:rPr>
          <w:rFonts w:eastAsia="Calibri"/>
          <w:sz w:val="28"/>
          <w:szCs w:val="28"/>
          <w:lang w:eastAsia="en-US"/>
        </w:rPr>
        <w:t xml:space="preserve">Новороговского </w:t>
      </w:r>
      <w:r>
        <w:rPr>
          <w:rFonts w:eastAsia="Calibri"/>
          <w:sz w:val="28"/>
          <w:szCs w:val="28"/>
          <w:lang w:eastAsia="en-US"/>
        </w:rPr>
        <w:t>сельского поселения</w:t>
      </w:r>
      <w:r w:rsidRPr="00EC14E3">
        <w:rPr>
          <w:rFonts w:eastAsia="Calibri"/>
          <w:sz w:val="28"/>
          <w:szCs w:val="28"/>
          <w:lang w:eastAsia="en-US"/>
        </w:rPr>
        <w:t xml:space="preserve"> </w:t>
      </w:r>
      <w:r w:rsidRPr="00EC14E3">
        <w:rPr>
          <w:rFonts w:ascii="Calibri" w:eastAsia="Calibri" w:hAnsi="Calibri"/>
          <w:spacing w:val="-2"/>
          <w:sz w:val="22"/>
          <w:szCs w:val="28"/>
          <w:lang w:eastAsia="en-US"/>
        </w:rPr>
        <w:t xml:space="preserve"> </w:t>
      </w:r>
      <w:r w:rsidRPr="00EC14E3">
        <w:rPr>
          <w:rFonts w:eastAsia="Calibri"/>
          <w:b/>
          <w:spacing w:val="60"/>
          <w:sz w:val="28"/>
          <w:szCs w:val="28"/>
          <w:lang w:eastAsia="en-US"/>
        </w:rPr>
        <w:t>постановляе</w:t>
      </w:r>
      <w:r w:rsidRPr="00EC14E3">
        <w:rPr>
          <w:rFonts w:eastAsia="Calibri"/>
          <w:b/>
          <w:sz w:val="28"/>
          <w:szCs w:val="28"/>
          <w:lang w:eastAsia="en-US"/>
        </w:rPr>
        <w:t>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21116B">
        <w:rPr>
          <w:sz w:val="28"/>
          <w:szCs w:val="28"/>
        </w:rPr>
        <w:t xml:space="preserve">Новороговского </w:t>
      </w:r>
      <w:r>
        <w:rPr>
          <w:sz w:val="28"/>
          <w:szCs w:val="28"/>
        </w:rPr>
        <w:t xml:space="preserve"> сельского поселения</w:t>
      </w:r>
      <w:r w:rsidRPr="00EC14E3">
        <w:rPr>
          <w:sz w:val="28"/>
          <w:szCs w:val="28"/>
        </w:rPr>
        <w:t>, согласно приложению к настоящему постановлению.</w:t>
      </w:r>
    </w:p>
    <w:p w:rsidR="0021116B" w:rsidRPr="00EC14E3" w:rsidRDefault="0021116B" w:rsidP="00C72558">
      <w:pPr>
        <w:widowControl w:val="0"/>
        <w:autoSpaceDE w:val="0"/>
        <w:autoSpaceDN w:val="0"/>
        <w:ind w:firstLine="851"/>
        <w:contextualSpacing/>
        <w:jc w:val="both"/>
        <w:rPr>
          <w:sz w:val="28"/>
          <w:szCs w:val="28"/>
        </w:rPr>
      </w:pPr>
      <w:r>
        <w:rPr>
          <w:sz w:val="28"/>
          <w:szCs w:val="28"/>
        </w:rPr>
        <w:t>2.Постановлений Администрации Новороговского сельского поселения от 02.08.2010 года №112/1 «О формировании и подготовке муниципального резерва управленческих кадров Новороговского сельского поселения»- считать утратившим силу.</w:t>
      </w:r>
    </w:p>
    <w:p w:rsidR="00C72558" w:rsidRPr="002E2A1C" w:rsidRDefault="0021116B" w:rsidP="00C72558">
      <w:pPr>
        <w:widowControl w:val="0"/>
        <w:autoSpaceDE w:val="0"/>
        <w:autoSpaceDN w:val="0"/>
        <w:ind w:firstLine="851"/>
        <w:contextualSpacing/>
        <w:jc w:val="both"/>
        <w:rPr>
          <w:sz w:val="28"/>
          <w:szCs w:val="28"/>
        </w:rPr>
      </w:pPr>
      <w:r>
        <w:rPr>
          <w:sz w:val="28"/>
          <w:szCs w:val="28"/>
        </w:rPr>
        <w:t>3</w:t>
      </w:r>
      <w:r w:rsidR="00C72558">
        <w:rPr>
          <w:sz w:val="28"/>
          <w:szCs w:val="28"/>
        </w:rPr>
        <w:t xml:space="preserve">. </w:t>
      </w:r>
      <w:r w:rsidR="00C72558" w:rsidRPr="002E2A1C">
        <w:rPr>
          <w:sz w:val="28"/>
          <w:szCs w:val="28"/>
        </w:rPr>
        <w:t xml:space="preserve">Настоящее постановление подлежит размещению </w:t>
      </w:r>
      <w:proofErr w:type="gramStart"/>
      <w:r w:rsidR="00C72558" w:rsidRPr="002E2A1C">
        <w:rPr>
          <w:sz w:val="28"/>
          <w:szCs w:val="28"/>
        </w:rPr>
        <w:t>в</w:t>
      </w:r>
      <w:proofErr w:type="gramEnd"/>
      <w:r w:rsidR="00C72558" w:rsidRPr="002E2A1C">
        <w:rPr>
          <w:sz w:val="28"/>
          <w:szCs w:val="28"/>
        </w:rPr>
        <w:t xml:space="preserve">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C72558" w:rsidP="00C72558">
      <w:pPr>
        <w:widowControl w:val="0"/>
        <w:autoSpaceDE w:val="0"/>
        <w:autoSpaceDN w:val="0"/>
        <w:ind w:firstLine="851"/>
        <w:contextualSpacing/>
        <w:jc w:val="both"/>
        <w:rPr>
          <w:sz w:val="28"/>
          <w:szCs w:val="20"/>
        </w:rPr>
      </w:pPr>
      <w:r>
        <w:rPr>
          <w:sz w:val="28"/>
          <w:szCs w:val="28"/>
        </w:rPr>
        <w:t>3</w:t>
      </w:r>
      <w:r w:rsidRPr="00EC14E3">
        <w:rPr>
          <w:sz w:val="28"/>
          <w:szCs w:val="28"/>
        </w:rPr>
        <w:t>. </w:t>
      </w:r>
      <w:proofErr w:type="gramStart"/>
      <w:r w:rsidRPr="00EC14E3">
        <w:rPr>
          <w:sz w:val="28"/>
          <w:szCs w:val="28"/>
        </w:rPr>
        <w:t>Контроль за</w:t>
      </w:r>
      <w:proofErr w:type="gramEnd"/>
      <w:r w:rsidRPr="00EC14E3">
        <w:rPr>
          <w:sz w:val="28"/>
          <w:szCs w:val="28"/>
        </w:rPr>
        <w:t xml:space="preserve">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04166C" w:rsidP="00C72558">
      <w:pPr>
        <w:jc w:val="both"/>
        <w:rPr>
          <w:color w:val="000000"/>
          <w:sz w:val="28"/>
          <w:szCs w:val="28"/>
        </w:rPr>
      </w:pPr>
      <w:r>
        <w:rPr>
          <w:color w:val="000000"/>
          <w:sz w:val="28"/>
          <w:szCs w:val="28"/>
        </w:rPr>
        <w:t>И о главы</w:t>
      </w:r>
      <w:r w:rsidR="00C72558" w:rsidRPr="00245B29">
        <w:rPr>
          <w:color w:val="000000"/>
          <w:sz w:val="28"/>
          <w:szCs w:val="28"/>
        </w:rPr>
        <w:t xml:space="preserve"> Администрации</w:t>
      </w:r>
    </w:p>
    <w:p w:rsidR="00C72558" w:rsidRDefault="0021116B" w:rsidP="00C72558">
      <w:pPr>
        <w:jc w:val="both"/>
        <w:rPr>
          <w:color w:val="000000"/>
          <w:sz w:val="28"/>
          <w:szCs w:val="28"/>
        </w:rPr>
      </w:pPr>
      <w:r>
        <w:rPr>
          <w:color w:val="000000"/>
          <w:sz w:val="28"/>
          <w:szCs w:val="28"/>
        </w:rPr>
        <w:t xml:space="preserve">Новороговского </w:t>
      </w:r>
      <w:r w:rsidR="00C72558">
        <w:rPr>
          <w:color w:val="000000"/>
          <w:sz w:val="28"/>
          <w:szCs w:val="28"/>
        </w:rPr>
        <w:t xml:space="preserve"> сельского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04166C">
        <w:rPr>
          <w:color w:val="000000"/>
          <w:sz w:val="28"/>
          <w:szCs w:val="28"/>
        </w:rPr>
        <w:t>Ю.Е.Самарцева</w:t>
      </w:r>
    </w:p>
    <w:p w:rsidR="00C72558" w:rsidRDefault="00C72558" w:rsidP="00C72558">
      <w:pPr>
        <w:jc w:val="both"/>
        <w:rPr>
          <w:color w:val="000000"/>
          <w:sz w:val="28"/>
          <w:szCs w:val="28"/>
        </w:rPr>
      </w:pPr>
    </w:p>
    <w:p w:rsidR="00C72558"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070FAB" w:rsidRDefault="00C72558" w:rsidP="00C72558">
      <w:pPr>
        <w:jc w:val="both"/>
        <w:rPr>
          <w:color w:val="FFFFFF"/>
          <w:sz w:val="28"/>
          <w:szCs w:val="28"/>
        </w:rPr>
      </w:pPr>
      <w:r w:rsidRPr="00070FAB">
        <w:rPr>
          <w:color w:val="FFFFFF"/>
          <w:sz w:val="28"/>
          <w:szCs w:val="28"/>
        </w:rPr>
        <w:t>Управляющий делами</w:t>
      </w:r>
    </w:p>
    <w:p w:rsidR="0021116B" w:rsidRDefault="00C72558" w:rsidP="0004166C">
      <w:pPr>
        <w:rPr>
          <w:sz w:val="28"/>
          <w:szCs w:val="28"/>
        </w:rPr>
      </w:pPr>
      <w:r>
        <w:rPr>
          <w:color w:val="FFFFFF"/>
          <w:sz w:val="28"/>
          <w:szCs w:val="28"/>
        </w:rPr>
        <w:lastRenderedPageBreak/>
        <w:t>поселения</w:t>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t>З.Н. Дегтярева</w:t>
      </w:r>
    </w:p>
    <w:p w:rsidR="00C72558" w:rsidRDefault="00C72558" w:rsidP="00C72558">
      <w:pPr>
        <w:ind w:left="6804"/>
        <w:jc w:val="center"/>
        <w:rPr>
          <w:sz w:val="28"/>
          <w:szCs w:val="28"/>
        </w:rPr>
      </w:pPr>
      <w:r>
        <w:rPr>
          <w:sz w:val="28"/>
          <w:szCs w:val="28"/>
        </w:rPr>
        <w:t>Приложение</w:t>
      </w:r>
    </w:p>
    <w:p w:rsidR="00C72558" w:rsidRDefault="00C72558" w:rsidP="00C72558">
      <w:pPr>
        <w:ind w:left="6804"/>
        <w:jc w:val="center"/>
        <w:rPr>
          <w:sz w:val="28"/>
          <w:szCs w:val="28"/>
        </w:rPr>
      </w:pPr>
      <w:r>
        <w:rPr>
          <w:sz w:val="28"/>
          <w:szCs w:val="28"/>
        </w:rPr>
        <w:t>к постановлению</w:t>
      </w:r>
    </w:p>
    <w:p w:rsidR="00C72558" w:rsidRDefault="00C72558" w:rsidP="00C72558">
      <w:pPr>
        <w:ind w:left="6804"/>
        <w:jc w:val="center"/>
        <w:rPr>
          <w:sz w:val="28"/>
          <w:szCs w:val="28"/>
        </w:rPr>
      </w:pPr>
      <w:r>
        <w:rPr>
          <w:sz w:val="28"/>
          <w:szCs w:val="28"/>
        </w:rPr>
        <w:t>Администрации</w:t>
      </w:r>
    </w:p>
    <w:p w:rsidR="00C72558" w:rsidRDefault="0021116B" w:rsidP="00C72558">
      <w:pPr>
        <w:ind w:left="6804"/>
        <w:jc w:val="center"/>
        <w:rPr>
          <w:sz w:val="28"/>
          <w:szCs w:val="28"/>
        </w:rPr>
      </w:pPr>
      <w:r>
        <w:rPr>
          <w:sz w:val="28"/>
          <w:szCs w:val="28"/>
        </w:rPr>
        <w:t>Новороговского</w:t>
      </w:r>
      <w:r w:rsidR="00C72558">
        <w:rPr>
          <w:sz w:val="28"/>
          <w:szCs w:val="28"/>
        </w:rPr>
        <w:t xml:space="preserve"> сельского поселения</w:t>
      </w:r>
    </w:p>
    <w:p w:rsidR="00C72558" w:rsidRDefault="00C72558" w:rsidP="0021116B">
      <w:pPr>
        <w:ind w:left="6804"/>
        <w:jc w:val="center"/>
        <w:rPr>
          <w:sz w:val="28"/>
          <w:szCs w:val="28"/>
        </w:rPr>
      </w:pPr>
      <w:r>
        <w:rPr>
          <w:sz w:val="28"/>
          <w:szCs w:val="28"/>
        </w:rPr>
        <w:t xml:space="preserve">от </w:t>
      </w:r>
      <w:r w:rsidR="0021116B">
        <w:rPr>
          <w:sz w:val="28"/>
          <w:szCs w:val="28"/>
        </w:rPr>
        <w:t>.08</w:t>
      </w:r>
      <w:r>
        <w:rPr>
          <w:sz w:val="28"/>
          <w:szCs w:val="28"/>
        </w:rPr>
        <w:t xml:space="preserve">.2018 № </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r>
        <w:rPr>
          <w:sz w:val="28"/>
          <w:szCs w:val="28"/>
        </w:rPr>
        <w:t>ПОРЯДОК</w:t>
      </w:r>
    </w:p>
    <w:p w:rsidR="00C72558" w:rsidRDefault="00C72558" w:rsidP="00C72558">
      <w:pPr>
        <w:jc w:val="center"/>
        <w:rPr>
          <w:sz w:val="28"/>
          <w:szCs w:val="28"/>
        </w:rPr>
      </w:pPr>
      <w:r>
        <w:rPr>
          <w:sz w:val="28"/>
          <w:szCs w:val="28"/>
        </w:rPr>
        <w:t xml:space="preserve">формирования и подготовки муниципального резерва управленческих кадров </w:t>
      </w:r>
      <w:r w:rsidR="0021116B">
        <w:rPr>
          <w:sz w:val="28"/>
          <w:szCs w:val="28"/>
        </w:rPr>
        <w:t>Новороговского</w:t>
      </w:r>
      <w:r>
        <w:rPr>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Default="00C72558" w:rsidP="00C72558">
      <w:pPr>
        <w:pStyle w:val="1"/>
        <w:jc w:val="center"/>
        <w:rPr>
          <w:rFonts w:ascii="Times New Roman" w:hAnsi="Times New Roman"/>
          <w:sz w:val="28"/>
          <w:szCs w:val="28"/>
        </w:rPr>
      </w:pPr>
      <w:r>
        <w:rPr>
          <w:rFonts w:ascii="Times New Roman" w:hAnsi="Times New Roman"/>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proofErr w:type="gramStart"/>
      <w:r w:rsidR="007239A3">
        <w:rPr>
          <w:sz w:val="28"/>
          <w:szCs w:val="28"/>
        </w:rPr>
        <w:t>Под м</w:t>
      </w:r>
      <w:r>
        <w:rPr>
          <w:sz w:val="28"/>
          <w:szCs w:val="28"/>
        </w:rPr>
        <w:t xml:space="preserve">униципальным резервом </w:t>
      </w:r>
      <w:r w:rsidR="007239A3">
        <w:rPr>
          <w:sz w:val="28"/>
          <w:szCs w:val="28"/>
        </w:rPr>
        <w:t xml:space="preserve">понимается </w:t>
      </w:r>
      <w:r>
        <w:rPr>
          <w:sz w:val="28"/>
          <w:szCs w:val="28"/>
        </w:rPr>
        <w:t xml:space="preserve"> специально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соответствующая  </w:t>
      </w:r>
      <w:r w:rsidRPr="00305145">
        <w:rPr>
          <w:sz w:val="28"/>
          <w:szCs w:val="28"/>
        </w:rPr>
        <w:t>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roofErr w:type="gramEnd"/>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t>в  администрации</w:t>
      </w:r>
      <w:r w:rsidR="00032C35">
        <w:rPr>
          <w:sz w:val="28"/>
          <w:szCs w:val="28"/>
        </w:rPr>
        <w:t xml:space="preserve"> Новороговского сельского поселения</w:t>
      </w:r>
      <w:proofErr w:type="gramStart"/>
      <w:r w:rsidR="00032C35">
        <w:rPr>
          <w:sz w:val="28"/>
          <w:szCs w:val="28"/>
        </w:rPr>
        <w:t xml:space="preserve"> </w:t>
      </w:r>
      <w:r w:rsidR="00032C35" w:rsidRPr="0070257B">
        <w:rPr>
          <w:sz w:val="28"/>
          <w:szCs w:val="28"/>
        </w:rPr>
        <w:t>,</w:t>
      </w:r>
      <w:proofErr w:type="gramEnd"/>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Новороговского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w:t>
      </w:r>
      <w:proofErr w:type="gramStart"/>
      <w:r w:rsidRPr="0070257B">
        <w:rPr>
          <w:sz w:val="28"/>
          <w:szCs w:val="28"/>
        </w:rPr>
        <w:t>ии и ее</w:t>
      </w:r>
      <w:proofErr w:type="gramEnd"/>
      <w:r w:rsidRPr="0070257B">
        <w:rPr>
          <w:sz w:val="28"/>
          <w:szCs w:val="28"/>
        </w:rPr>
        <w:t xml:space="preserve">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Новороговского сельского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0257B" w:rsidRDefault="00704E3E" w:rsidP="00704E3E">
      <w:pPr>
        <w:jc w:val="center"/>
        <w:rPr>
          <w:sz w:val="28"/>
          <w:szCs w:val="28"/>
        </w:rPr>
      </w:pPr>
      <w:r w:rsidRPr="0070257B">
        <w:rPr>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lastRenderedPageBreak/>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регионального </w:t>
      </w:r>
      <w:r w:rsidR="00BF60CB">
        <w:rPr>
          <w:sz w:val="28"/>
          <w:szCs w:val="28"/>
        </w:rPr>
        <w:t xml:space="preserve"> </w:t>
      </w:r>
      <w:r>
        <w:rPr>
          <w:sz w:val="28"/>
          <w:szCs w:val="28"/>
        </w:rPr>
        <w:t>и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975AD0" w:rsidRDefault="00704E3E" w:rsidP="00704E3E">
      <w:pPr>
        <w:jc w:val="center"/>
        <w:rPr>
          <w:sz w:val="28"/>
          <w:szCs w:val="28"/>
        </w:rPr>
      </w:pPr>
      <w:r w:rsidRPr="00975AD0">
        <w:rPr>
          <w:sz w:val="28"/>
          <w:szCs w:val="28"/>
        </w:rPr>
        <w:t>3. Определение потребности</w:t>
      </w:r>
      <w:r>
        <w:rPr>
          <w:sz w:val="28"/>
          <w:szCs w:val="28"/>
        </w:rPr>
        <w:t xml:space="preserve">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Новороговского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Новороговского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Новороговского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в Администрации Новороговского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lastRenderedPageBreak/>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DD1333" w:rsidRDefault="00130F96" w:rsidP="00130F96">
      <w:pPr>
        <w:jc w:val="center"/>
        <w:rPr>
          <w:sz w:val="28"/>
          <w:szCs w:val="28"/>
        </w:rPr>
      </w:pPr>
      <w:r>
        <w:rPr>
          <w:sz w:val="28"/>
          <w:szCs w:val="28"/>
        </w:rPr>
        <w:t>4</w:t>
      </w:r>
      <w:r w:rsidRPr="00DD1333">
        <w:rPr>
          <w:sz w:val="28"/>
          <w:szCs w:val="28"/>
        </w:rPr>
        <w:t>. Порядок выявления кандидатов на в</w:t>
      </w:r>
      <w:r>
        <w:rPr>
          <w:sz w:val="28"/>
          <w:szCs w:val="28"/>
        </w:rPr>
        <w:t>ключение в муниципальный резерв</w:t>
      </w:r>
    </w:p>
    <w:p w:rsidR="00130F96" w:rsidRPr="00A12567" w:rsidRDefault="00130F96" w:rsidP="00130F96">
      <w:pPr>
        <w:jc w:val="center"/>
        <w:rPr>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муниципальный резерв может осуществляться  посредством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lastRenderedPageBreak/>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Default="00130F96" w:rsidP="00130F96">
      <w:pPr>
        <w:jc w:val="center"/>
        <w:rPr>
          <w:sz w:val="28"/>
          <w:szCs w:val="28"/>
        </w:rPr>
      </w:pPr>
      <w:r w:rsidRPr="00A52D1D">
        <w:rPr>
          <w:sz w:val="28"/>
          <w:szCs w:val="28"/>
        </w:rPr>
        <w:t xml:space="preserve">5. Порядок отбора кандидатов, подлежащих включению </w:t>
      </w:r>
    </w:p>
    <w:p w:rsidR="00130F96" w:rsidRPr="00A52D1D" w:rsidRDefault="00130F96" w:rsidP="00130F96">
      <w:pPr>
        <w:jc w:val="center"/>
        <w:rPr>
          <w:sz w:val="28"/>
          <w:szCs w:val="28"/>
        </w:rPr>
      </w:pPr>
      <w:r>
        <w:rPr>
          <w:sz w:val="28"/>
          <w:szCs w:val="28"/>
        </w:rPr>
        <w:t>в муниципальный резерв</w:t>
      </w:r>
    </w:p>
    <w:p w:rsidR="00130F96" w:rsidRPr="00A52D1D" w:rsidRDefault="00130F96" w:rsidP="00130F96">
      <w:pPr>
        <w:jc w:val="center"/>
        <w:rPr>
          <w:sz w:val="28"/>
          <w:szCs w:val="28"/>
        </w:rPr>
      </w:pPr>
    </w:p>
    <w:p w:rsidR="00130F96" w:rsidRPr="00FE7EE2" w:rsidRDefault="00130F96" w:rsidP="00130F96">
      <w:pPr>
        <w:pStyle w:val="ConsPlusNormal"/>
        <w:widowControl/>
        <w:ind w:firstLine="567"/>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обладающих </w:t>
      </w:r>
      <w:r>
        <w:rPr>
          <w:rFonts w:ascii="Times New Roman" w:hAnsi="Times New Roman" w:cs="Times New Roman"/>
          <w:sz w:val="28"/>
          <w:szCs w:val="28"/>
        </w:rPr>
        <w:t xml:space="preserve"> н</w:t>
      </w:r>
      <w:r w:rsidRPr="00FE7EE2">
        <w:rPr>
          <w:rFonts w:ascii="Times New Roman" w:hAnsi="Times New Roman" w:cs="Times New Roman"/>
          <w:sz w:val="28"/>
          <w:szCs w:val="28"/>
        </w:rPr>
        <w:t>еобходимыми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вклад </w:t>
      </w:r>
      <w:r>
        <w:rPr>
          <w:rFonts w:ascii="Times New Roman" w:hAnsi="Times New Roman" w:cs="Times New Roman"/>
          <w:sz w:val="28"/>
          <w:szCs w:val="28"/>
        </w:rPr>
        <w:t xml:space="preserve"> </w:t>
      </w:r>
      <w:r w:rsidRPr="00FE7EE2">
        <w:rPr>
          <w:rFonts w:ascii="Times New Roman" w:hAnsi="Times New Roman" w:cs="Times New Roman"/>
          <w:sz w:val="28"/>
          <w:szCs w:val="28"/>
        </w:rPr>
        <w:t>в муниципальное развитие.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Новороговского сельского поселения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130F96">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Pr>
          <w:sz w:val="28"/>
          <w:szCs w:val="28"/>
        </w:rPr>
        <w:t>А</w:t>
      </w:r>
      <w:r w:rsidRPr="00FE7EE2">
        <w:rPr>
          <w:sz w:val="28"/>
          <w:szCs w:val="28"/>
        </w:rPr>
        <w:t xml:space="preserve">дминистрации </w:t>
      </w:r>
      <w:r>
        <w:rPr>
          <w:sz w:val="28"/>
          <w:szCs w:val="28"/>
        </w:rPr>
        <w:t xml:space="preserve"> Новороговского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письменное заявление на имя председателя Комиссии (приложение № 3);</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составляет две недели </w:t>
      </w:r>
      <w:proofErr w:type="gramStart"/>
      <w:r w:rsidRPr="00FE7EE2">
        <w:rPr>
          <w:rFonts w:ascii="Times New Roman" w:hAnsi="Times New Roman" w:cs="Times New Roman"/>
          <w:sz w:val="28"/>
          <w:szCs w:val="28"/>
        </w:rPr>
        <w:t>с даты опубликования</w:t>
      </w:r>
      <w:proofErr w:type="gramEnd"/>
      <w:r w:rsidRPr="00FE7EE2">
        <w:rPr>
          <w:rFonts w:ascii="Times New Roman" w:hAnsi="Times New Roman" w:cs="Times New Roman"/>
          <w:sz w:val="28"/>
          <w:szCs w:val="28"/>
        </w:rPr>
        <w:t xml:space="preserve">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 xml:space="preserve">специалист по кадровой работе в течение 30 дней осуществляет проверку полноты и </w:t>
      </w:r>
      <w:proofErr w:type="gramStart"/>
      <w:r w:rsidRPr="00FE7EE2">
        <w:rPr>
          <w:rFonts w:ascii="Times New Roman" w:hAnsi="Times New Roman" w:cs="Times New Roman"/>
          <w:sz w:val="28"/>
          <w:szCs w:val="28"/>
        </w:rPr>
        <w:t>достоверности</w:t>
      </w:r>
      <w:proofErr w:type="gramEnd"/>
      <w:r w:rsidRPr="00FE7EE2">
        <w:rPr>
          <w:rFonts w:ascii="Times New Roman" w:hAnsi="Times New Roman" w:cs="Times New Roman"/>
          <w:sz w:val="28"/>
          <w:szCs w:val="28"/>
        </w:rPr>
        <w:t xml:space="preserve">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Pr="00AD3B8A">
        <w:rPr>
          <w:rFonts w:ascii="Times New Roman" w:hAnsi="Times New Roman" w:cs="Times New Roman"/>
          <w:sz w:val="28"/>
          <w:szCs w:val="28"/>
        </w:rPr>
        <w:t xml:space="preserve">сайте </w:t>
      </w:r>
      <w:r w:rsidR="00AD3B8A" w:rsidRPr="00AD3B8A">
        <w:rPr>
          <w:rFonts w:ascii="Times New Roman" w:hAnsi="Times New Roman" w:cs="Times New Roman"/>
          <w:sz w:val="28"/>
          <w:szCs w:val="28"/>
        </w:rPr>
        <w:t xml:space="preserve"> Администрации  Новороговского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F57D56" w:rsidRDefault="00F57D56" w:rsidP="00F57D56">
      <w:pPr>
        <w:jc w:val="center"/>
        <w:rPr>
          <w:sz w:val="28"/>
          <w:szCs w:val="28"/>
        </w:rPr>
      </w:pPr>
      <w:r>
        <w:rPr>
          <w:sz w:val="28"/>
          <w:szCs w:val="28"/>
        </w:rPr>
        <w:tab/>
      </w:r>
      <w:r w:rsidRPr="00AB2CA6">
        <w:rPr>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F57D56">
      <w:pPr>
        <w:ind w:firstLine="567"/>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планах </w:t>
      </w:r>
      <w:r>
        <w:rPr>
          <w:sz w:val="28"/>
          <w:szCs w:val="28"/>
        </w:rPr>
        <w:t xml:space="preserve"> </w:t>
      </w:r>
      <w:r w:rsidRPr="00FE7EE2">
        <w:rPr>
          <w:sz w:val="28"/>
          <w:szCs w:val="28"/>
        </w:rPr>
        <w:t>их совершенствования, мотивах служебной деятельности, активности гражданской позиции и т.д.</w:t>
      </w:r>
    </w:p>
    <w:p w:rsidR="00342F6A" w:rsidRPr="00325C7F" w:rsidRDefault="00342F6A" w:rsidP="00342F6A">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342F6A">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342F6A">
      <w:pPr>
        <w:ind w:firstLine="709"/>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342F6A">
      <w:pPr>
        <w:ind w:firstLine="709"/>
        <w:jc w:val="both"/>
        <w:rPr>
          <w:sz w:val="28"/>
          <w:szCs w:val="28"/>
        </w:rPr>
      </w:pPr>
      <w:r w:rsidRPr="00325C7F">
        <w:rPr>
          <w:sz w:val="28"/>
          <w:szCs w:val="28"/>
        </w:rPr>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lastRenderedPageBreak/>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 xml:space="preserve">12. Расскажите о Ваших самых важных достижениях, успехах в профессиональной деятельности </w:t>
      </w:r>
      <w:proofErr w:type="gramStart"/>
      <w:r w:rsidRPr="00325C7F">
        <w:rPr>
          <w:spacing w:val="2"/>
          <w:sz w:val="28"/>
          <w:szCs w:val="28"/>
        </w:rPr>
        <w:t>за</w:t>
      </w:r>
      <w:proofErr w:type="gramEnd"/>
      <w:r w:rsidRPr="00325C7F">
        <w:rPr>
          <w:spacing w:val="2"/>
          <w:sz w:val="28"/>
          <w:szCs w:val="28"/>
        </w:rPr>
        <w:t xml:space="preserve">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t>16. Каковы, на Ваш взгляд,  Ваши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lastRenderedPageBreak/>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sidRPr="00FE7EE2">
        <w:rPr>
          <w:rFonts w:ascii="Times New Roman" w:hAnsi="Times New Roman" w:cs="Times New Roman"/>
          <w:color w:val="auto"/>
        </w:rPr>
        <w:t>модерации</w:t>
      </w:r>
      <w:proofErr w:type="spellEnd"/>
      <w:r w:rsidRPr="00FE7EE2">
        <w:rPr>
          <w:rFonts w:ascii="Times New Roman" w:hAnsi="Times New Roman" w:cs="Times New Roman"/>
          <w:color w:val="auto"/>
        </w:rPr>
        <w:t>.</w:t>
      </w:r>
    </w:p>
    <w:p w:rsidR="008C6E29" w:rsidRPr="00325C7F" w:rsidRDefault="008C6E29" w:rsidP="008C6E29">
      <w:pPr>
        <w:tabs>
          <w:tab w:val="left" w:pos="540"/>
        </w:tabs>
        <w:ind w:firstLine="709"/>
        <w:jc w:val="both"/>
        <w:rPr>
          <w:spacing w:val="2"/>
          <w:sz w:val="28"/>
          <w:szCs w:val="28"/>
        </w:rPr>
      </w:pPr>
      <w:r w:rsidRPr="00325C7F">
        <w:rPr>
          <w:spacing w:val="2"/>
          <w:sz w:val="28"/>
          <w:szCs w:val="28"/>
        </w:rPr>
        <w:t> 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lastRenderedPageBreak/>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w:t>
      </w:r>
      <w:proofErr w:type="gramEnd"/>
      <w:r w:rsidRPr="00325C7F">
        <w:rPr>
          <w:sz w:val="28"/>
          <w:szCs w:val="28"/>
        </w:rPr>
        <w:t xml:space="preserve"> себя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w:t>
      </w:r>
      <w:proofErr w:type="gramEnd"/>
      <w:r w:rsidRPr="00325C7F">
        <w:rPr>
          <w:sz w:val="28"/>
          <w:szCs w:val="28"/>
        </w:rPr>
        <w:t xml:space="preserve">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roofErr w:type="gramEnd"/>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roofErr w:type="gramEnd"/>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lastRenderedPageBreak/>
        <w:t xml:space="preserve">шрифт 14, </w:t>
      </w:r>
      <w:proofErr w:type="spellStart"/>
      <w:r w:rsidRPr="00325C7F">
        <w:rPr>
          <w:spacing w:val="2"/>
          <w:sz w:val="28"/>
          <w:szCs w:val="28"/>
        </w:rPr>
        <w:t>Times</w:t>
      </w:r>
      <w:proofErr w:type="spellEnd"/>
      <w:r w:rsidRPr="00325C7F">
        <w:rPr>
          <w:spacing w:val="2"/>
          <w:sz w:val="28"/>
          <w:szCs w:val="28"/>
        </w:rPr>
        <w:t xml:space="preserve"> </w:t>
      </w:r>
      <w:proofErr w:type="spellStart"/>
      <w:r w:rsidRPr="00325C7F">
        <w:rPr>
          <w:spacing w:val="2"/>
          <w:sz w:val="28"/>
          <w:szCs w:val="28"/>
        </w:rPr>
        <w:t>New</w:t>
      </w:r>
      <w:proofErr w:type="spellEnd"/>
      <w:r w:rsidRPr="00325C7F">
        <w:rPr>
          <w:spacing w:val="2"/>
          <w:sz w:val="28"/>
          <w:szCs w:val="28"/>
        </w:rPr>
        <w:t xml:space="preserve"> </w:t>
      </w:r>
      <w:proofErr w:type="spellStart"/>
      <w:r w:rsidRPr="00325C7F">
        <w:rPr>
          <w:spacing w:val="2"/>
          <w:sz w:val="28"/>
          <w:szCs w:val="28"/>
        </w:rPr>
        <w:t>Roman</w:t>
      </w:r>
      <w:proofErr w:type="spellEnd"/>
      <w:r w:rsidRPr="00325C7F">
        <w:rPr>
          <w:spacing w:val="2"/>
          <w:sz w:val="28"/>
          <w:szCs w:val="28"/>
        </w:rPr>
        <w:t xml:space="preserve">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D86E63" w:rsidRDefault="008157D4" w:rsidP="008157D4">
      <w:pPr>
        <w:jc w:val="center"/>
        <w:rPr>
          <w:sz w:val="28"/>
          <w:szCs w:val="28"/>
        </w:rPr>
      </w:pPr>
      <w:r>
        <w:rPr>
          <w:sz w:val="28"/>
          <w:szCs w:val="28"/>
        </w:rPr>
        <w:tab/>
      </w:r>
      <w:r w:rsidRPr="00D86E63">
        <w:rPr>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Default="007D4A59" w:rsidP="007D4A59">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w:t>
      </w:r>
      <w:r w:rsidRPr="003E54EA">
        <w:rPr>
          <w:rFonts w:ascii="Times New Roman" w:hAnsi="Times New Roman" w:cs="Times New Roman"/>
          <w:sz w:val="28"/>
          <w:szCs w:val="28"/>
        </w:rPr>
        <w:t>ндивидуальны</w:t>
      </w:r>
      <w:r>
        <w:rPr>
          <w:rFonts w:ascii="Times New Roman" w:hAnsi="Times New Roman" w:cs="Times New Roman"/>
          <w:sz w:val="28"/>
          <w:szCs w:val="28"/>
        </w:rPr>
        <w:t>й</w:t>
      </w:r>
      <w:r w:rsidRPr="003E54EA">
        <w:rPr>
          <w:rFonts w:ascii="Times New Roman" w:hAnsi="Times New Roman" w:cs="Times New Roman"/>
          <w:sz w:val="28"/>
          <w:szCs w:val="28"/>
        </w:rPr>
        <w:t xml:space="preserve"> план профессионального развития</w:t>
      </w:r>
      <w:r>
        <w:rPr>
          <w:rFonts w:ascii="Times New Roman" w:hAnsi="Times New Roman" w:cs="Times New Roman"/>
          <w:sz w:val="28"/>
          <w:szCs w:val="28"/>
        </w:rPr>
        <w:t xml:space="preserve">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Глава Администрации Новороговского 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FE7EE2" w:rsidRDefault="003E6218" w:rsidP="003E6218">
      <w:pPr>
        <w:jc w:val="center"/>
        <w:rPr>
          <w:sz w:val="28"/>
          <w:szCs w:val="28"/>
        </w:rPr>
      </w:pPr>
      <w:r>
        <w:rPr>
          <w:sz w:val="28"/>
          <w:szCs w:val="28"/>
        </w:rPr>
        <w:tab/>
      </w:r>
      <w:r w:rsidRPr="00FE7EE2">
        <w:rPr>
          <w:sz w:val="28"/>
          <w:szCs w:val="28"/>
        </w:rPr>
        <w:t xml:space="preserve">9. Основные функции </w:t>
      </w:r>
      <w:r>
        <w:rPr>
          <w:sz w:val="28"/>
          <w:szCs w:val="28"/>
        </w:rPr>
        <w:t>специалиста по кадровой работе</w:t>
      </w:r>
      <w:r w:rsidRPr="00FE7EE2">
        <w:rPr>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lastRenderedPageBreak/>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DD1333" w:rsidRDefault="003E6218" w:rsidP="003E6218">
      <w:pPr>
        <w:pStyle w:val="ConsPlusNormal"/>
        <w:widowControl/>
        <w:ind w:firstLine="540"/>
        <w:jc w:val="center"/>
        <w:rPr>
          <w:rFonts w:ascii="Times New Roman" w:hAnsi="Times New Roman" w:cs="Times New Roman"/>
          <w:sz w:val="28"/>
          <w:szCs w:val="28"/>
        </w:rPr>
      </w:pPr>
      <w:r w:rsidRPr="00DD1333">
        <w:rPr>
          <w:rFonts w:ascii="Times New Roman" w:hAnsi="Times New Roman" w:cs="Times New Roman"/>
          <w:sz w:val="28"/>
          <w:szCs w:val="28"/>
        </w:rPr>
        <w:t>1</w:t>
      </w:r>
      <w:r>
        <w:rPr>
          <w:rFonts w:ascii="Times New Roman" w:hAnsi="Times New Roman" w:cs="Times New Roman"/>
          <w:sz w:val="28"/>
          <w:szCs w:val="28"/>
        </w:rPr>
        <w:t>0</w:t>
      </w:r>
      <w:r w:rsidRPr="00DD1333">
        <w:rPr>
          <w:rFonts w:ascii="Times New Roman" w:hAnsi="Times New Roman" w:cs="Times New Roman"/>
          <w:sz w:val="28"/>
          <w:szCs w:val="28"/>
        </w:rPr>
        <w:t xml:space="preserve">.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lastRenderedPageBreak/>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EB6591" w:rsidRDefault="003E6218" w:rsidP="003E6218">
      <w:pPr>
        <w:pStyle w:val="ConsPlusNormal"/>
        <w:widowControl/>
        <w:ind w:firstLine="0"/>
        <w:jc w:val="center"/>
        <w:rPr>
          <w:rFonts w:ascii="Times New Roman" w:hAnsi="Times New Roman" w:cs="Times New Roman"/>
          <w:sz w:val="28"/>
          <w:szCs w:val="28"/>
        </w:rPr>
      </w:pPr>
      <w:r w:rsidRPr="00EB6591">
        <w:rPr>
          <w:rFonts w:ascii="Times New Roman" w:hAnsi="Times New Roman" w:cs="Times New Roman"/>
          <w:sz w:val="28"/>
          <w:szCs w:val="28"/>
        </w:rPr>
        <w:t>1</w:t>
      </w:r>
      <w:r>
        <w:rPr>
          <w:rFonts w:ascii="Times New Roman" w:hAnsi="Times New Roman" w:cs="Times New Roman"/>
          <w:sz w:val="28"/>
          <w:szCs w:val="28"/>
        </w:rPr>
        <w:t>1</w:t>
      </w:r>
      <w:r w:rsidRPr="00EB6591">
        <w:rPr>
          <w:rFonts w:ascii="Times New Roman" w:hAnsi="Times New Roman" w:cs="Times New Roman"/>
          <w:sz w:val="28"/>
          <w:szCs w:val="28"/>
        </w:rPr>
        <w:t>. Порядок взаимодействия со средствами массовой информации по вопрос</w:t>
      </w:r>
      <w:r>
        <w:rPr>
          <w:rFonts w:ascii="Times New Roman" w:hAnsi="Times New Roman" w:cs="Times New Roman"/>
          <w:sz w:val="28"/>
          <w:szCs w:val="28"/>
        </w:rPr>
        <w:t>ам</w:t>
      </w:r>
      <w:r w:rsidRPr="00EB6591">
        <w:rPr>
          <w:rFonts w:ascii="Times New Roman" w:hAnsi="Times New Roman" w:cs="Times New Roman"/>
          <w:sz w:val="28"/>
          <w:szCs w:val="28"/>
        </w:rPr>
        <w:t xml:space="preserve">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Новороговского 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proofErr w:type="gramStart"/>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roofErr w:type="gramEnd"/>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Default="003E6218" w:rsidP="003E6218">
      <w:pPr>
        <w:jc w:val="center"/>
        <w:rPr>
          <w:sz w:val="28"/>
          <w:szCs w:val="28"/>
        </w:rPr>
      </w:pPr>
      <w:r w:rsidRPr="00C85F26">
        <w:rPr>
          <w:sz w:val="28"/>
          <w:szCs w:val="28"/>
        </w:rPr>
        <w:t>12. Исключение из муниципального резерва</w:t>
      </w:r>
      <w:r w:rsidRPr="00DD1333">
        <w:rPr>
          <w:sz w:val="28"/>
          <w:szCs w:val="28"/>
        </w:rPr>
        <w:t xml:space="preserve">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lastRenderedPageBreak/>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3E6218">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3E6218">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3E6218">
      <w:pPr>
        <w:ind w:firstLine="567"/>
        <w:rPr>
          <w:sz w:val="28"/>
          <w:szCs w:val="28"/>
        </w:rPr>
      </w:pPr>
      <w:r w:rsidRPr="004610DA">
        <w:rPr>
          <w:sz w:val="28"/>
          <w:szCs w:val="28"/>
        </w:rPr>
        <w:t>в иных случаях по решению Комиссии</w:t>
      </w:r>
      <w:r w:rsidRPr="0054165F">
        <w:rPr>
          <w:sz w:val="28"/>
          <w:szCs w:val="28"/>
        </w:rPr>
        <w:t>.</w:t>
      </w:r>
    </w:p>
    <w:p w:rsidR="003E6218" w:rsidRDefault="003E6218" w:rsidP="003E6218">
      <w:pPr>
        <w:ind w:firstLine="567"/>
        <w:rPr>
          <w:sz w:val="28"/>
          <w:szCs w:val="28"/>
        </w:rPr>
      </w:pPr>
      <w:r>
        <w:rPr>
          <w:sz w:val="28"/>
          <w:szCs w:val="28"/>
        </w:rPr>
        <w:t>12.3. Решение об исключении из муниципального резерва оформляется постановлением Администрации Нов</w:t>
      </w:r>
      <w:r w:rsidR="00563B7A">
        <w:rPr>
          <w:sz w:val="28"/>
          <w:szCs w:val="28"/>
        </w:rPr>
        <w:t>ороговского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Default="003E6218" w:rsidP="003E6218">
      <w:pPr>
        <w:jc w:val="center"/>
        <w:rPr>
          <w:sz w:val="28"/>
          <w:szCs w:val="28"/>
        </w:rPr>
      </w:pPr>
      <w:r w:rsidRPr="00A22D87">
        <w:rPr>
          <w:sz w:val="28"/>
          <w:szCs w:val="28"/>
        </w:rPr>
        <w:t>1</w:t>
      </w:r>
      <w:r>
        <w:rPr>
          <w:sz w:val="28"/>
          <w:szCs w:val="28"/>
        </w:rPr>
        <w:t>3</w:t>
      </w:r>
      <w:r w:rsidRPr="00A22D87">
        <w:rPr>
          <w:sz w:val="28"/>
          <w:szCs w:val="28"/>
        </w:rPr>
        <w:t>.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.2.1. Показатель ЭфР</w:t>
      </w:r>
      <w:proofErr w:type="gramStart"/>
      <w:r w:rsidRPr="00A22D87">
        <w:rPr>
          <w:sz w:val="28"/>
          <w:szCs w:val="28"/>
        </w:rPr>
        <w:t>1</w:t>
      </w:r>
      <w:proofErr w:type="gramEnd"/>
      <w:r w:rsidRPr="00A22D87">
        <w:rPr>
          <w:sz w:val="28"/>
          <w:szCs w:val="28"/>
        </w:rPr>
        <w:t xml:space="preserve">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1</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w:t>
      </w:r>
      <w:proofErr w:type="gramStart"/>
      <w:r w:rsidRPr="007D6623">
        <w:rPr>
          <w:sz w:val="28"/>
          <w:szCs w:val="28"/>
        </w:rPr>
        <w:t>2</w:t>
      </w:r>
      <w:proofErr w:type="gramEnd"/>
      <w:r w:rsidRPr="007D6623">
        <w:rPr>
          <w:sz w:val="28"/>
          <w:szCs w:val="28"/>
        </w:rPr>
        <w:t xml:space="preserve">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2</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lastRenderedPageBreak/>
        <w:t xml:space="preserve">показатели эффективности привлечения и отбора в муниципальный резерв, </w:t>
      </w:r>
      <w:r w:rsidRPr="007D6623">
        <w:rPr>
          <w:sz w:val="28"/>
          <w:szCs w:val="28"/>
        </w:rPr>
        <w:br/>
        <w:t xml:space="preserve">в частности – общий уровень </w:t>
      </w:r>
      <w:proofErr w:type="gramStart"/>
      <w:r w:rsidRPr="007D6623">
        <w:rPr>
          <w:sz w:val="28"/>
          <w:szCs w:val="28"/>
        </w:rPr>
        <w:t>развития</w:t>
      </w:r>
      <w:proofErr w:type="gramEnd"/>
      <w:r w:rsidRPr="007D6623">
        <w:rPr>
          <w:sz w:val="28"/>
          <w:szCs w:val="28"/>
        </w:rPr>
        <w:t xml:space="preserve">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tblPr>
      <w:tblGrid>
        <w:gridCol w:w="4785"/>
        <w:gridCol w:w="4786"/>
      </w:tblGrid>
      <w:tr w:rsidR="00C72558" w:rsidRPr="00325C7F" w:rsidTr="00130F96">
        <w:trPr>
          <w:trHeight w:val="1248"/>
        </w:trPr>
        <w:tc>
          <w:tcPr>
            <w:tcW w:w="4785"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4786"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C72558" w:rsidRPr="00325C7F" w:rsidRDefault="00C72558" w:rsidP="003E6218">
            <w:pPr>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3E6218">
              <w:rPr>
                <w:sz w:val="28"/>
                <w:szCs w:val="28"/>
              </w:rPr>
              <w:t xml:space="preserve">Новороговского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jc w:val="both"/>
        <w:rPr>
          <w:sz w:val="28"/>
          <w:szCs w:val="28"/>
        </w:rPr>
      </w:pPr>
      <w:r w:rsidRPr="00325C7F">
        <w:rPr>
          <w:sz w:val="28"/>
          <w:szCs w:val="28"/>
        </w:rPr>
        <w:t xml:space="preserve">рекомендую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Знаю  ____________________________ </w:t>
      </w:r>
      <w:proofErr w:type="gramStart"/>
      <w:r w:rsidRPr="00325C7F">
        <w:rPr>
          <w:sz w:val="28"/>
          <w:szCs w:val="28"/>
        </w:rPr>
        <w:t>с</w:t>
      </w:r>
      <w:proofErr w:type="gramEnd"/>
      <w:r w:rsidRPr="00325C7F">
        <w:rPr>
          <w:sz w:val="28"/>
          <w:szCs w:val="28"/>
        </w:rPr>
        <w:t xml:space="preserve">   ______________________________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roofErr w:type="gramStart"/>
      <w:r w:rsidRPr="00325C7F">
        <w:rPr>
          <w:sz w:val="28"/>
          <w:szCs w:val="28"/>
        </w:rPr>
        <w:t>достойной</w:t>
      </w:r>
      <w:proofErr w:type="gramEnd"/>
      <w:r w:rsidRPr="00325C7F">
        <w:rPr>
          <w:sz w:val="28"/>
          <w:szCs w:val="28"/>
        </w:rPr>
        <w:t xml:space="preserve">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tblPr>
      <w:tblGrid>
        <w:gridCol w:w="4785"/>
        <w:gridCol w:w="4786"/>
      </w:tblGrid>
      <w:tr w:rsidR="00C72558" w:rsidRPr="00325C7F" w:rsidTr="00130F96">
        <w:tc>
          <w:tcPr>
            <w:tcW w:w="4785" w:type="dxa"/>
            <w:shd w:val="clear" w:color="auto" w:fill="auto"/>
          </w:tcPr>
          <w:p w:rsidR="00C72558" w:rsidRPr="00325C7F" w:rsidRDefault="00C72558" w:rsidP="00130F96">
            <w:pPr>
              <w:autoSpaceDE w:val="0"/>
              <w:autoSpaceDN w:val="0"/>
              <w:adjustRightInd w:val="0"/>
              <w:jc w:val="center"/>
              <w:rPr>
                <w:sz w:val="28"/>
                <w:szCs w:val="28"/>
              </w:rPr>
            </w:pPr>
          </w:p>
        </w:tc>
        <w:tc>
          <w:tcPr>
            <w:tcW w:w="4786"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72558" w:rsidRPr="00325C7F" w:rsidRDefault="00C72558" w:rsidP="003E6218">
            <w:pPr>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3E6218">
              <w:rPr>
                <w:sz w:val="28"/>
                <w:szCs w:val="28"/>
              </w:rPr>
              <w:t xml:space="preserve">Новороговского </w:t>
            </w:r>
            <w:r>
              <w:rPr>
                <w:sz w:val="28"/>
                <w:szCs w:val="28"/>
              </w:rPr>
              <w:t xml:space="preserve">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Председателю комиссию по формированию                       </w:t>
      </w:r>
    </w:p>
    <w:p w:rsidR="00C72558" w:rsidRPr="00325C7F" w:rsidRDefault="00C72558" w:rsidP="00C72558">
      <w:pPr>
        <w:jc w:val="both"/>
        <w:rPr>
          <w:sz w:val="28"/>
          <w:szCs w:val="28"/>
        </w:rPr>
      </w:pPr>
      <w:r w:rsidRPr="00325C7F">
        <w:rPr>
          <w:sz w:val="28"/>
          <w:szCs w:val="28"/>
        </w:rPr>
        <w:t xml:space="preserve">                                                        и подготовке муниципального резерва  </w:t>
      </w:r>
    </w:p>
    <w:p w:rsidR="00C72558" w:rsidRPr="00325C7F" w:rsidRDefault="00C72558" w:rsidP="00C72558">
      <w:pPr>
        <w:jc w:val="both"/>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w:t>
      </w:r>
      <w:proofErr w:type="gramStart"/>
      <w:r w:rsidRPr="00325C7F">
        <w:rPr>
          <w:sz w:val="28"/>
          <w:szCs w:val="28"/>
        </w:rPr>
        <w:t>Проживающего</w:t>
      </w:r>
      <w:proofErr w:type="gramEnd"/>
      <w:r w:rsidRPr="00325C7F">
        <w:rPr>
          <w:sz w:val="28"/>
          <w:szCs w:val="28"/>
        </w:rPr>
        <w:t xml:space="preserve">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С  порядком  формирования  и  подготовки муниципального резерва управленческих кадров </w:t>
      </w:r>
      <w:proofErr w:type="gramStart"/>
      <w:r w:rsidRPr="00325C7F">
        <w:rPr>
          <w:sz w:val="28"/>
          <w:szCs w:val="28"/>
        </w:rPr>
        <w:t>ознакомлен</w:t>
      </w:r>
      <w:proofErr w:type="gramEnd"/>
      <w:r w:rsidRPr="00325C7F">
        <w:rPr>
          <w:sz w:val="28"/>
          <w:szCs w:val="28"/>
        </w:rPr>
        <w:t xml:space="preserve">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tblPr>
      <w:tblGrid>
        <w:gridCol w:w="5210"/>
        <w:gridCol w:w="5211"/>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72558" w:rsidRPr="00325C7F" w:rsidRDefault="00C72558" w:rsidP="00842F67">
            <w:pPr>
              <w:widowControl w:val="0"/>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842F67">
              <w:rPr>
                <w:sz w:val="28"/>
                <w:szCs w:val="28"/>
              </w:rPr>
              <w:t xml:space="preserve">Новороговского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F6673D" w:rsidP="00C72558">
      <w:pPr>
        <w:jc w:val="center"/>
        <w:rPr>
          <w:b/>
          <w:sz w:val="22"/>
          <w:szCs w:val="22"/>
        </w:rPr>
      </w:pPr>
      <w:r w:rsidRPr="00F6673D">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78pt;margin-top:10.5pt;width:63pt;height:86.85pt;z-index:251660288">
            <v:textbox style="mso-next-textbox:#_x0000_s1026">
              <w:txbxContent>
                <w:p w:rsidR="00AF299A" w:rsidRDefault="00AF299A" w:rsidP="00C72558">
                  <w:pPr>
                    <w:jc w:val="center"/>
                  </w:pPr>
                  <w:r>
                    <w:t xml:space="preserve">Место для </w:t>
                  </w:r>
                  <w:proofErr w:type="spellStart"/>
                  <w:proofErr w:type="gramStart"/>
                  <w:r>
                    <w:t>фотогра-фии</w:t>
                  </w:r>
                  <w:proofErr w:type="spellEnd"/>
                  <w:proofErr w:type="gramEnd"/>
                </w:p>
              </w:txbxContent>
            </v:textbox>
            <w10:wrap type="square"/>
          </v:shape>
        </w:pic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lastRenderedPageBreak/>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t>организации</w:t>
            </w:r>
            <w:r w:rsidRPr="00325C7F">
              <w:rPr>
                <w:sz w:val="22"/>
                <w:szCs w:val="22"/>
              </w:rPr>
              <w:b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w:t>
      </w:r>
      <w:proofErr w:type="gramStart"/>
      <w:r w:rsidRPr="00325C7F">
        <w:rPr>
          <w:sz w:val="22"/>
          <w:szCs w:val="22"/>
        </w:rPr>
        <w:t>какие</w:t>
      </w:r>
      <w:proofErr w:type="gramEnd"/>
      <w:r w:rsidRPr="00325C7F">
        <w:rPr>
          <w:sz w:val="22"/>
          <w:szCs w:val="22"/>
        </w:rPr>
        <w:t>,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tblPr>
      <w:tblGrid>
        <w:gridCol w:w="5211"/>
        <w:gridCol w:w="5103"/>
      </w:tblGrid>
      <w:tr w:rsidR="00842F67" w:rsidRPr="004D072B" w:rsidTr="00AF299A">
        <w:trPr>
          <w:trHeight w:val="694"/>
        </w:trPr>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103"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04166C" w:rsidP="00AF299A">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к Порядку формирования и подготовки муниципального резерва управленческих кадров Новороговского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w:t>
      </w:r>
      <w:proofErr w:type="gramStart"/>
      <w:r w:rsidRPr="008D2FA8">
        <w:t>й(</w:t>
      </w:r>
      <w:proofErr w:type="spellStart"/>
      <w:proofErr w:type="gramEnd"/>
      <w:r w:rsidRPr="008D2FA8">
        <w:t>ая</w:t>
      </w:r>
      <w:proofErr w:type="spellEnd"/>
      <w:r w:rsidRPr="008D2FA8">
        <w:t>)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proofErr w:type="spellStart"/>
      <w:r w:rsidRPr="008D2FA8">
        <w:t>_______</w:t>
      </w:r>
      <w:proofErr w:type="gramStart"/>
      <w:r w:rsidRPr="008D2FA8">
        <w:t>г</w:t>
      </w:r>
      <w:proofErr w:type="spellEnd"/>
      <w:proofErr w:type="gramEnd"/>
      <w:r w:rsidRPr="008D2FA8">
        <w:t>.</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proofErr w:type="gramStart"/>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roofErr w:type="gramEnd"/>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proofErr w:type="gramStart"/>
      <w:r w:rsidRPr="009650C6">
        <w:t>- сведения о близких родственниках (фамилия, имя, отчество, число, месяц, год и место рождения, место работы, должность, домашний адрес);</w:t>
      </w:r>
      <w:proofErr w:type="gramEnd"/>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w:t>
      </w:r>
      <w:proofErr w:type="gramStart"/>
      <w:r w:rsidRPr="00BE38BB">
        <w:t>н(</w:t>
      </w:r>
      <w:proofErr w:type="gramEnd"/>
      <w:r w:rsidRPr="00BE38BB">
        <w:t>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w:t>
      </w:r>
      <w:proofErr w:type="gramStart"/>
      <w:r w:rsidRPr="00BE38BB">
        <w:t>н(</w:t>
      </w:r>
      <w:proofErr w:type="gramEnd"/>
      <w:r w:rsidRPr="00BE38BB">
        <w:t>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w:t>
      </w:r>
      <w:proofErr w:type="gramStart"/>
      <w:r w:rsidRPr="008D2FA8">
        <w:t>н(</w:t>
      </w:r>
      <w:proofErr w:type="gramEnd"/>
      <w:r w:rsidRPr="008D2FA8">
        <w:t>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Я согласе</w:t>
      </w:r>
      <w:proofErr w:type="gramStart"/>
      <w:r w:rsidRPr="008D2FA8">
        <w:t>н(</w:t>
      </w:r>
      <w:proofErr w:type="gramEnd"/>
      <w:r w:rsidRPr="008D2FA8">
        <w:t xml:space="preserve">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w:t>
      </w:r>
      <w:proofErr w:type="gramStart"/>
      <w:r w:rsidRPr="008D2FA8">
        <w:t>н(</w:t>
      </w:r>
      <w:proofErr w:type="gramEnd"/>
      <w:r w:rsidRPr="008D2FA8">
        <w:t>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бак</w:t>
            </w:r>
            <w:r>
              <w:rPr>
                <w:rFonts w:eastAsia="Calibri"/>
                <w:sz w:val="22"/>
                <w:szCs w:val="22"/>
                <w:lang w:eastAsia="en-US"/>
              </w:rPr>
              <w:t>а</w:t>
            </w:r>
            <w:r w:rsidRPr="008858ED">
              <w:rPr>
                <w:rFonts w:eastAsia="Calibri"/>
                <w:sz w:val="22"/>
                <w:szCs w:val="22"/>
                <w:lang w:eastAsia="en-US"/>
              </w:rPr>
              <w:t>лавриат</w:t>
            </w:r>
            <w:proofErr w:type="spellEnd"/>
            <w:r w:rsidRPr="008858ED">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магистратура, </w:t>
            </w:r>
            <w:proofErr w:type="spellStart"/>
            <w:r w:rsidRPr="008858ED">
              <w:rPr>
                <w:rFonts w:eastAsia="Calibri"/>
                <w:sz w:val="22"/>
                <w:szCs w:val="22"/>
                <w:lang w:eastAsia="en-US"/>
              </w:rPr>
              <w:t>специалитет</w:t>
            </w:r>
            <w:proofErr w:type="spellEnd"/>
            <w:r w:rsidRPr="008858ED">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xml:space="preserve">- используются </w:t>
            </w:r>
            <w:proofErr w:type="gramStart"/>
            <w:r w:rsidRPr="00272196">
              <w:rPr>
                <w:rFonts w:eastAsia="Calibri"/>
                <w:sz w:val="22"/>
                <w:szCs w:val="22"/>
                <w:lang w:eastAsia="en-US"/>
              </w:rPr>
              <w:t>узко специализированные</w:t>
            </w:r>
            <w:proofErr w:type="gramEnd"/>
            <w:r w:rsidRPr="00272196">
              <w:rPr>
                <w:rFonts w:eastAsia="Calibri"/>
                <w:sz w:val="22"/>
                <w:szCs w:val="22"/>
                <w:lang w:eastAsia="en-US"/>
              </w:rPr>
              <w:t xml:space="preserve">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используется широкий спектр знаний в рамках нескольких смежных областей </w:t>
            </w:r>
            <w:r w:rsidRPr="00272196">
              <w:rPr>
                <w:rFonts w:eastAsia="Calibri"/>
                <w:sz w:val="22"/>
                <w:szCs w:val="22"/>
                <w:lang w:eastAsia="en-US"/>
              </w:rPr>
              <w:lastRenderedPageBreak/>
              <w:t>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proofErr w:type="spellStart"/>
            <w:r w:rsidRPr="008858ED">
              <w:rPr>
                <w:rFonts w:eastAsia="Calibri"/>
                <w:sz w:val="22"/>
                <w:szCs w:val="22"/>
                <w:lang w:eastAsia="en-US"/>
              </w:rPr>
              <w:t>инновационность</w:t>
            </w:r>
            <w:proofErr w:type="spellEnd"/>
            <w:r w:rsidRPr="008858ED">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нераскрытие</w:t>
            </w:r>
            <w:proofErr w:type="spellEnd"/>
            <w:r w:rsidRPr="008858ED">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proofErr w:type="spellStart"/>
            <w:proofErr w:type="gramStart"/>
            <w:r w:rsidRPr="008858ED">
              <w:rPr>
                <w:rFonts w:eastAsia="Calibri"/>
                <w:spacing w:val="1"/>
                <w:sz w:val="22"/>
                <w:szCs w:val="22"/>
                <w:lang w:eastAsia="en-US"/>
              </w:rPr>
              <w:t>Общеобразователь-ный</w:t>
            </w:r>
            <w:proofErr w:type="spellEnd"/>
            <w:proofErr w:type="gramEnd"/>
            <w:r w:rsidRPr="008858ED">
              <w:rPr>
                <w:rFonts w:eastAsia="Calibri"/>
                <w:spacing w:val="1"/>
                <w:sz w:val="22"/>
                <w:szCs w:val="22"/>
                <w:lang w:eastAsia="en-US"/>
              </w:rPr>
              <w:t xml:space="preserve">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tblPr>
      <w:tblGrid>
        <w:gridCol w:w="5033"/>
        <w:gridCol w:w="5105"/>
      </w:tblGrid>
      <w:tr w:rsidR="00842F67" w:rsidRPr="004D072B" w:rsidTr="00AF299A">
        <w:trPr>
          <w:trHeight w:val="708"/>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04166C" w:rsidP="00AF299A">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к Порядку формирования и подготовки муниципального резерва управленческих кадров Новороговского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proofErr w:type="spellStart"/>
            <w:proofErr w:type="gramStart"/>
            <w:r w:rsidRPr="008545D1">
              <w:t>п</w:t>
            </w:r>
            <w:proofErr w:type="spellEnd"/>
            <w:proofErr w:type="gramEnd"/>
            <w:r w:rsidRPr="008545D1">
              <w:t>/</w:t>
            </w:r>
            <w:proofErr w:type="spellStart"/>
            <w:r w:rsidRPr="008545D1">
              <w:t>п</w:t>
            </w:r>
            <w:proofErr w:type="spellEnd"/>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proofErr w:type="spellStart"/>
            <w:r w:rsidRPr="008545D1">
              <w:t>ежемясячно</w:t>
            </w:r>
            <w:proofErr w:type="spellEnd"/>
            <w:r w:rsidRPr="008545D1">
              <w:t>/</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lastRenderedPageBreak/>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tblPr>
      <w:tblGrid>
        <w:gridCol w:w="4663"/>
        <w:gridCol w:w="5475"/>
      </w:tblGrid>
      <w:tr w:rsidR="00842F67" w:rsidRPr="004D072B" w:rsidTr="00AF299A">
        <w:tc>
          <w:tcPr>
            <w:tcW w:w="4785" w:type="dxa"/>
            <w:shd w:val="clear" w:color="auto" w:fill="auto"/>
          </w:tcPr>
          <w:p w:rsidR="00842F67" w:rsidRPr="004D072B" w:rsidRDefault="00842F67" w:rsidP="00AF299A">
            <w:pPr>
              <w:rPr>
                <w:sz w:val="28"/>
                <w:szCs w:val="28"/>
              </w:rPr>
            </w:pPr>
            <w:r>
              <w:lastRenderedPageBreak/>
              <w:br w:type="page"/>
            </w:r>
            <w:r>
              <w:br w:type="page"/>
            </w:r>
            <w:r>
              <w:br w:type="page"/>
            </w:r>
          </w:p>
        </w:tc>
        <w:tc>
          <w:tcPr>
            <w:tcW w:w="5529"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842F67" w:rsidRPr="004D072B" w:rsidRDefault="0004166C" w:rsidP="00AF299A">
            <w:pPr>
              <w:ind w:left="1311"/>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Pr>
                <w:sz w:val="28"/>
                <w:szCs w:val="28"/>
              </w:rPr>
              <w:t>Новороговского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индивидуальный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tblPr>
      <w:tblGrid>
        <w:gridCol w:w="4686"/>
        <w:gridCol w:w="5452"/>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proofErr w:type="gramStart"/>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r>
            <w:proofErr w:type="spellStart"/>
            <w:proofErr w:type="gramStart"/>
            <w:r w:rsidRPr="00186FAC">
              <w:rPr>
                <w:sz w:val="28"/>
                <w:szCs w:val="28"/>
              </w:rPr>
              <w:t>п</w:t>
            </w:r>
            <w:proofErr w:type="spellEnd"/>
            <w:proofErr w:type="gramEnd"/>
            <w:r w:rsidRPr="00186FAC">
              <w:rPr>
                <w:sz w:val="28"/>
                <w:szCs w:val="28"/>
              </w:rPr>
              <w:t>/</w:t>
            </w:r>
            <w:proofErr w:type="spellStart"/>
            <w:r w:rsidRPr="00186FAC">
              <w:rPr>
                <w:sz w:val="28"/>
                <w:szCs w:val="28"/>
              </w:rPr>
              <w:t>п</w:t>
            </w:r>
            <w:proofErr w:type="spellEnd"/>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proofErr w:type="spellStart"/>
            <w:proofErr w:type="gramStart"/>
            <w:r w:rsidRPr="00AF0474">
              <w:rPr>
                <w:sz w:val="28"/>
                <w:szCs w:val="28"/>
              </w:rPr>
              <w:t>п</w:t>
            </w:r>
            <w:proofErr w:type="spellEnd"/>
            <w:proofErr w:type="gramEnd"/>
            <w:r w:rsidRPr="00AF0474">
              <w:rPr>
                <w:sz w:val="28"/>
                <w:szCs w:val="28"/>
              </w:rPr>
              <w:t>/</w:t>
            </w:r>
            <w:proofErr w:type="spellStart"/>
            <w:r w:rsidRPr="00AF0474">
              <w:rPr>
                <w:sz w:val="28"/>
                <w:szCs w:val="28"/>
              </w:rPr>
              <w:t>п</w:t>
            </w:r>
            <w:proofErr w:type="spellEnd"/>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t>обучения</w:t>
            </w:r>
            <w:r w:rsidRPr="00AF0474">
              <w:rPr>
                <w:sz w:val="28"/>
                <w:szCs w:val="28"/>
              </w:rPr>
              <w:br/>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r>
            <w:proofErr w:type="spellStart"/>
            <w:proofErr w:type="gramStart"/>
            <w:r w:rsidRPr="009F12DC">
              <w:rPr>
                <w:sz w:val="28"/>
                <w:szCs w:val="28"/>
              </w:rPr>
              <w:t>п</w:t>
            </w:r>
            <w:proofErr w:type="spellEnd"/>
            <w:proofErr w:type="gramEnd"/>
            <w:r w:rsidRPr="009F12DC">
              <w:rPr>
                <w:sz w:val="28"/>
                <w:szCs w:val="28"/>
              </w:rPr>
              <w:t>/</w:t>
            </w:r>
            <w:proofErr w:type="spellStart"/>
            <w:r w:rsidRPr="009F12DC">
              <w:rPr>
                <w:sz w:val="28"/>
                <w:szCs w:val="28"/>
              </w:rPr>
              <w:t>п</w:t>
            </w:r>
            <w:proofErr w:type="spellEnd"/>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r>
            <w:proofErr w:type="spellStart"/>
            <w:proofErr w:type="gramStart"/>
            <w:r w:rsidRPr="004D072B">
              <w:rPr>
                <w:sz w:val="28"/>
                <w:szCs w:val="28"/>
              </w:rPr>
              <w:t>п</w:t>
            </w:r>
            <w:proofErr w:type="spellEnd"/>
            <w:proofErr w:type="gramEnd"/>
            <w:r w:rsidRPr="004D072B">
              <w:rPr>
                <w:sz w:val="28"/>
                <w:szCs w:val="28"/>
              </w:rPr>
              <w:t>/</w:t>
            </w:r>
            <w:proofErr w:type="spellStart"/>
            <w:r w:rsidRPr="004D072B">
              <w:rPr>
                <w:sz w:val="28"/>
                <w:szCs w:val="28"/>
              </w:rPr>
              <w:t>п</w:t>
            </w:r>
            <w:proofErr w:type="spellEnd"/>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739" w:rsidRDefault="00565739" w:rsidP="00704E3E">
      <w:r>
        <w:separator/>
      </w:r>
    </w:p>
  </w:endnote>
  <w:endnote w:type="continuationSeparator" w:id="0">
    <w:p w:rsidR="00565739" w:rsidRDefault="00565739" w:rsidP="0070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99A" w:rsidRDefault="00AF299A" w:rsidP="00AF29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F299A" w:rsidRDefault="00AF299A" w:rsidP="00AF29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739" w:rsidRDefault="00565739" w:rsidP="00704E3E">
      <w:r>
        <w:separator/>
      </w:r>
    </w:p>
  </w:footnote>
  <w:footnote w:type="continuationSeparator" w:id="0">
    <w:p w:rsidR="00565739" w:rsidRDefault="00565739" w:rsidP="00704E3E">
      <w:r>
        <w:continuationSeparator/>
      </w:r>
    </w:p>
  </w:footnote>
  <w:footnote w:id="1">
    <w:p w:rsidR="00AF299A" w:rsidRDefault="00AF299A"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AF299A" w:rsidRDefault="00AF299A" w:rsidP="00704E3E">
      <w:pPr>
        <w:pStyle w:val="a4"/>
        <w:jc w:val="both"/>
      </w:pPr>
      <w:r>
        <w:rPr>
          <w:rStyle w:val="a6"/>
        </w:rPr>
        <w:footnoteRef/>
      </w:r>
      <w:r>
        <w:t> За исключением помощников, советников, консультантов.</w:t>
      </w:r>
    </w:p>
  </w:footnote>
  <w:footnote w:id="3">
    <w:p w:rsidR="00AF299A" w:rsidRDefault="00AF299A"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99A" w:rsidRDefault="00AF299A" w:rsidP="00AF299A">
    <w:pPr>
      <w:pStyle w:val="ab"/>
      <w:jc w:val="center"/>
    </w:pPr>
    <w:fldSimple w:instr="PAGE   \* MERGEFORMAT">
      <w:r w:rsidR="0004166C">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2558"/>
    <w:rsid w:val="00032C35"/>
    <w:rsid w:val="0004166C"/>
    <w:rsid w:val="001019B5"/>
    <w:rsid w:val="00130F96"/>
    <w:rsid w:val="0021116B"/>
    <w:rsid w:val="00250365"/>
    <w:rsid w:val="00342F6A"/>
    <w:rsid w:val="003A63A7"/>
    <w:rsid w:val="003E6218"/>
    <w:rsid w:val="00401F46"/>
    <w:rsid w:val="004A5AFD"/>
    <w:rsid w:val="004B33C4"/>
    <w:rsid w:val="00563B7A"/>
    <w:rsid w:val="00565739"/>
    <w:rsid w:val="005D2011"/>
    <w:rsid w:val="00704E3E"/>
    <w:rsid w:val="007239A3"/>
    <w:rsid w:val="00773399"/>
    <w:rsid w:val="00783C5D"/>
    <w:rsid w:val="00796406"/>
    <w:rsid w:val="007D4A59"/>
    <w:rsid w:val="008157D4"/>
    <w:rsid w:val="00842F67"/>
    <w:rsid w:val="008C6E29"/>
    <w:rsid w:val="008E011A"/>
    <w:rsid w:val="009039A3"/>
    <w:rsid w:val="00A0074F"/>
    <w:rsid w:val="00AD3B8A"/>
    <w:rsid w:val="00AF299A"/>
    <w:rsid w:val="00B05C13"/>
    <w:rsid w:val="00BF60CB"/>
    <w:rsid w:val="00C72558"/>
    <w:rsid w:val="00F57D56"/>
    <w:rsid w:val="00F66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70871-2313-440E-BA52-26032458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2018-07-31T06:45:00Z</dcterms:created>
  <dcterms:modified xsi:type="dcterms:W3CDTF">2018-08-02T05:30:00Z</dcterms:modified>
</cp:coreProperties>
</file>