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A1" w:rsidRDefault="009954A1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Обсуждение-1</w:t>
      </w:r>
      <w:r w:rsidR="00D02CEB">
        <w:rPr>
          <w:kern w:val="2"/>
          <w:sz w:val="28"/>
          <w:szCs w:val="28"/>
          <w:lang w:eastAsia="hi-IN" w:bidi="hi-IN"/>
        </w:rPr>
        <w:t>5</w:t>
      </w:r>
      <w:r>
        <w:rPr>
          <w:kern w:val="2"/>
          <w:sz w:val="28"/>
          <w:szCs w:val="28"/>
          <w:lang w:eastAsia="hi-IN" w:bidi="hi-IN"/>
        </w:rPr>
        <w:t>.03.2022г. - 1</w:t>
      </w:r>
      <w:r w:rsidR="00D02CEB">
        <w:rPr>
          <w:kern w:val="2"/>
          <w:sz w:val="28"/>
          <w:szCs w:val="28"/>
          <w:lang w:eastAsia="hi-IN" w:bidi="hi-IN"/>
        </w:rPr>
        <w:t>5</w:t>
      </w:r>
      <w:r>
        <w:rPr>
          <w:kern w:val="2"/>
          <w:sz w:val="28"/>
          <w:szCs w:val="28"/>
          <w:lang w:eastAsia="hi-IN" w:bidi="hi-IN"/>
        </w:rPr>
        <w:t>.04.2022г.     ПРОЕКТ</w:t>
      </w:r>
      <w:bookmarkStart w:id="0" w:name="_GoBack"/>
      <w:bookmarkEnd w:id="0"/>
    </w:p>
    <w:p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9954A1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НОВОРОГОВСКОГО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:rsidR="00AC0B1A" w:rsidRDefault="00B6540D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9954A1">
        <w:rPr>
          <w:sz w:val="28"/>
          <w:szCs w:val="28"/>
        </w:rPr>
        <w:t>0</w:t>
      </w:r>
      <w:r w:rsidR="00AC0B1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C0B1A">
        <w:rPr>
          <w:sz w:val="28"/>
          <w:szCs w:val="28"/>
        </w:rPr>
        <w:t>.2022</w:t>
      </w:r>
      <w:r w:rsidR="005E2B99">
        <w:rPr>
          <w:sz w:val="28"/>
          <w:szCs w:val="28"/>
        </w:rPr>
        <w:t xml:space="preserve">                                    </w:t>
      </w:r>
      <w:r w:rsidR="00AC0B1A">
        <w:rPr>
          <w:sz w:val="28"/>
          <w:szCs w:val="28"/>
        </w:rPr>
        <w:t xml:space="preserve">№ </w:t>
      </w:r>
      <w:r w:rsidR="009954A1">
        <w:rPr>
          <w:sz w:val="28"/>
          <w:szCs w:val="28"/>
        </w:rPr>
        <w:t>00</w:t>
      </w:r>
      <w:r w:rsidR="005E2B99">
        <w:rPr>
          <w:sz w:val="28"/>
          <w:szCs w:val="28"/>
        </w:rPr>
        <w:t xml:space="preserve">                                 </w:t>
      </w:r>
      <w:proofErr w:type="spellStart"/>
      <w:r w:rsidR="009954A1">
        <w:rPr>
          <w:sz w:val="28"/>
          <w:szCs w:val="28"/>
        </w:rPr>
        <w:t>ст</w:t>
      </w:r>
      <w:proofErr w:type="gramStart"/>
      <w:r w:rsidR="009954A1">
        <w:rPr>
          <w:sz w:val="28"/>
          <w:szCs w:val="28"/>
        </w:rPr>
        <w:t>.Н</w:t>
      </w:r>
      <w:proofErr w:type="gramEnd"/>
      <w:r w:rsidR="009954A1">
        <w:rPr>
          <w:sz w:val="28"/>
          <w:szCs w:val="28"/>
        </w:rPr>
        <w:t>овороговская</w:t>
      </w:r>
      <w:proofErr w:type="spellEnd"/>
    </w:p>
    <w:p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 w:firstRow="1" w:lastRow="0" w:firstColumn="1" w:lastColumn="0" w:noHBand="0" w:noVBand="1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D12664">
            <w:pPr>
              <w:pStyle w:val="a3"/>
              <w:jc w:val="left"/>
            </w:pPr>
            <w:r>
              <w:rPr>
                <w:color w:val="212121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color w:val="212121"/>
                <w:sz w:val="28"/>
                <w:szCs w:val="28"/>
              </w:rPr>
              <w:t>Программы профилактики рисков причинения</w:t>
            </w:r>
            <w:proofErr w:type="gramEnd"/>
            <w:r>
              <w:rPr>
                <w:color w:val="212121"/>
                <w:sz w:val="28"/>
                <w:szCs w:val="28"/>
              </w:rPr>
              <w:t xml:space="preserve">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 в сфере благоустройства на 202</w:t>
            </w:r>
            <w:r w:rsidR="00D126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>
      <w:pPr>
        <w:rPr>
          <w:sz w:val="28"/>
          <w:szCs w:val="28"/>
        </w:rPr>
      </w:pPr>
    </w:p>
    <w:p w:rsidR="009954A1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 xml:space="preserve">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proofErr w:type="gramEnd"/>
    </w:p>
    <w:p w:rsidR="00B5217B" w:rsidRPr="000F5B93" w:rsidRDefault="000F5B93">
      <w:pPr>
        <w:pStyle w:val="a3"/>
        <w:ind w:firstLine="567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6373E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 xml:space="preserve">2. Опубликовать настоящее постановление на официальном сайте </w:t>
      </w:r>
      <w:r w:rsidR="009954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CA148C">
        <w:rPr>
          <w:color w:val="000000"/>
          <w:sz w:val="28"/>
          <w:szCs w:val="28"/>
        </w:rPr>
        <w:t xml:space="preserve">Новороговского сельского поселения </w:t>
      </w:r>
      <w:r>
        <w:rPr>
          <w:color w:val="000000"/>
          <w:sz w:val="28"/>
          <w:szCs w:val="28"/>
        </w:rPr>
        <w:t>в сети Интернет.</w:t>
      </w:r>
    </w:p>
    <w:p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B5217B" w:rsidRDefault="00B5217B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5696" w:rsidRDefault="009954A1" w:rsidP="009B3371">
      <w:pPr>
        <w:rPr>
          <w:b/>
          <w:bCs/>
        </w:rPr>
      </w:pPr>
      <w:r>
        <w:rPr>
          <w:sz w:val="28"/>
          <w:szCs w:val="28"/>
        </w:rPr>
        <w:t xml:space="preserve">Новороговского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В.Г.Романов</w:t>
      </w:r>
      <w:proofErr w:type="spellEnd"/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6373E5" w:rsidRDefault="006373E5" w:rsidP="000F5B93">
      <w:pPr>
        <w:ind w:firstLine="5669"/>
        <w:rPr>
          <w:color w:val="212121"/>
        </w:rPr>
      </w:pP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</w:t>
      </w:r>
      <w:r w:rsidR="00CA148C">
        <w:rPr>
          <w:color w:val="212121"/>
        </w:rPr>
        <w:t>П</w:t>
      </w:r>
      <w:r w:rsidRPr="000F5B93">
        <w:rPr>
          <w:color w:val="212121"/>
        </w:rPr>
        <w:t xml:space="preserve">остановлению </w:t>
      </w:r>
      <w:r w:rsidR="006373E5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Новороговского</w:t>
      </w:r>
      <w:r w:rsidR="00A615E9">
        <w:rPr>
          <w:color w:val="212121"/>
        </w:rPr>
        <w:t xml:space="preserve"> сельского</w:t>
      </w:r>
      <w:r>
        <w:rPr>
          <w:color w:val="212121"/>
        </w:rPr>
        <w:t xml:space="preserve"> поселения</w:t>
      </w:r>
      <w:r w:rsidR="00A615E9">
        <w:rPr>
          <w:color w:val="212121"/>
        </w:rPr>
        <w:t xml:space="preserve"> 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 w:rsidR="0022613D">
        <w:rPr>
          <w:color w:val="212121"/>
        </w:rPr>
        <w:t xml:space="preserve"> 0</w:t>
      </w:r>
      <w:r>
        <w:rPr>
          <w:color w:val="212121"/>
        </w:rPr>
        <w:t>0</w:t>
      </w:r>
      <w:r w:rsidR="000F5B93">
        <w:rPr>
          <w:color w:val="212121"/>
        </w:rPr>
        <w:t>.</w:t>
      </w:r>
      <w:r w:rsidR="00AC0B1A">
        <w:rPr>
          <w:color w:val="212121"/>
        </w:rPr>
        <w:t>0</w:t>
      </w:r>
      <w:r w:rsidR="0022613D">
        <w:rPr>
          <w:color w:val="212121"/>
        </w:rPr>
        <w:t>3</w:t>
      </w:r>
      <w:r w:rsidR="000F5B93">
        <w:rPr>
          <w:color w:val="212121"/>
        </w:rPr>
        <w:t>.</w:t>
      </w:r>
      <w:r w:rsidR="000F5B93" w:rsidRPr="000F5B93">
        <w:rPr>
          <w:color w:val="212121"/>
        </w:rPr>
        <w:t>202</w:t>
      </w:r>
      <w:r w:rsidR="009653C8">
        <w:rPr>
          <w:color w:val="212121"/>
        </w:rPr>
        <w:t>2</w:t>
      </w:r>
      <w:r w:rsidR="000F5B93" w:rsidRPr="000F5B93">
        <w:rPr>
          <w:color w:val="212121"/>
        </w:rPr>
        <w:t xml:space="preserve">г.    №  </w:t>
      </w:r>
      <w:r>
        <w:rPr>
          <w:color w:val="212121"/>
        </w:rPr>
        <w:t>00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1" w:name="P28"/>
      <w:bookmarkEnd w:id="1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3F0234">
        <w:rPr>
          <w:color w:val="212121"/>
          <w:sz w:val="26"/>
          <w:szCs w:val="26"/>
        </w:rPr>
        <w:t>3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)о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3F0234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202</w:t>
            </w:r>
            <w:r w:rsidR="003F0234">
              <w:rPr>
                <w:sz w:val="26"/>
                <w:szCs w:val="26"/>
              </w:rPr>
              <w:t>3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0372AD">
        <w:rPr>
          <w:color w:val="212121"/>
          <w:sz w:val="26"/>
          <w:szCs w:val="26"/>
        </w:rPr>
        <w:t>Новороговского</w:t>
      </w:r>
      <w:r w:rsidR="00D32C94">
        <w:rPr>
          <w:color w:val="212121"/>
          <w:sz w:val="26"/>
          <w:szCs w:val="26"/>
        </w:rPr>
        <w:t xml:space="preserve">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0372AD">
              <w:rPr>
                <w:sz w:val="26"/>
                <w:szCs w:val="26"/>
              </w:rPr>
              <w:t>Новороговского</w:t>
            </w:r>
            <w:r w:rsidR="004B5696">
              <w:rPr>
                <w:sz w:val="26"/>
                <w:szCs w:val="26"/>
              </w:rPr>
              <w:t xml:space="preserve">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372AD" w:rsidP="000372AD">
            <w:pPr>
              <w:widowControl w:val="0"/>
              <w:jc w:val="both"/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 xml:space="preserve">пециалист 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517D9"/>
    <w:rsid w:val="000372AD"/>
    <w:rsid w:val="00071CC4"/>
    <w:rsid w:val="000F5B93"/>
    <w:rsid w:val="00107805"/>
    <w:rsid w:val="0021258D"/>
    <w:rsid w:val="0022613D"/>
    <w:rsid w:val="003F0234"/>
    <w:rsid w:val="004B5696"/>
    <w:rsid w:val="004E349F"/>
    <w:rsid w:val="00545A35"/>
    <w:rsid w:val="005E2B99"/>
    <w:rsid w:val="006373E5"/>
    <w:rsid w:val="00672463"/>
    <w:rsid w:val="006849BA"/>
    <w:rsid w:val="00865689"/>
    <w:rsid w:val="009653C8"/>
    <w:rsid w:val="009954A1"/>
    <w:rsid w:val="009B3371"/>
    <w:rsid w:val="009D7C54"/>
    <w:rsid w:val="00A615E9"/>
    <w:rsid w:val="00AA2C79"/>
    <w:rsid w:val="00AC0B1A"/>
    <w:rsid w:val="00B5217B"/>
    <w:rsid w:val="00B6540D"/>
    <w:rsid w:val="00BD7846"/>
    <w:rsid w:val="00CA148C"/>
    <w:rsid w:val="00CF09E0"/>
    <w:rsid w:val="00D02CEB"/>
    <w:rsid w:val="00D12664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29</cp:revision>
  <cp:lastPrinted>2022-03-16T13:05:00Z</cp:lastPrinted>
  <dcterms:created xsi:type="dcterms:W3CDTF">2022-02-03T11:44:00Z</dcterms:created>
  <dcterms:modified xsi:type="dcterms:W3CDTF">2022-03-17T05:47:00Z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